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highlight w:val="none"/>
        </w:rPr>
      </w:pPr>
      <w:r>
        <w:rPr>
          <w:rFonts w:hint="eastAsia" w:ascii="楷体" w:hAnsi="楷体" w:eastAsia="楷体"/>
          <w:highlight w:val="none"/>
        </w:rPr>
        <mc:AlternateContent>
          <mc:Choice Requires="wps">
            <w:drawing>
              <wp:anchor distT="45720" distB="45720" distL="114300" distR="114300" simplePos="0" relativeHeight="251659264" behindDoc="0" locked="0" layoutInCell="1" allowOverlap="1">
                <wp:simplePos x="0" y="0"/>
                <wp:positionH relativeFrom="margin">
                  <wp:posOffset>-330835</wp:posOffset>
                </wp:positionH>
                <wp:positionV relativeFrom="paragraph">
                  <wp:posOffset>-423545</wp:posOffset>
                </wp:positionV>
                <wp:extent cx="6021070" cy="2676525"/>
                <wp:effectExtent l="4445" t="4445" r="13335" b="508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676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投资周期终止日F/G份额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wps:txbx>
                      <wps:bodyPr wrap="square" upright="1">
                        <a:spAutoFit/>
                      </wps:bodyPr>
                    </wps:wsp>
                  </a:graphicData>
                </a:graphic>
              </wp:anchor>
            </w:drawing>
          </mc:Choice>
          <mc:Fallback>
            <w:pict>
              <v:shape id="文本框 2" o:spid="_x0000_s1026" o:spt="202" type="#_x0000_t202" style="position:absolute;left:0pt;margin-left:-26.05pt;margin-top:-33.35pt;height:210.7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GU7LNoA&#10;AAALAQAADwAAAAAAAAABACAAAAAiAAAAZHJzL2Rvd25yZXYueG1sUEsBAhQAFAAAAAgAh07iQEza&#10;dYwdAgAAXwQAAA4AAAAAAAAAAQAgAAAAKQEAAGRycy9lMm9Eb2MueG1sUEsFBgAAAAAGAAYAWQEA&#10;ALgFA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投资周期终止日F/G份额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highlight w:val="none"/>
        </w:rPr>
        <w:t xml:space="preserve"> </w:t>
      </w:r>
    </w:p>
    <w:p>
      <w:pPr>
        <w:pStyle w:val="12"/>
        <w:spacing w:before="0" w:beforeAutospacing="0" w:after="0" w:afterAutospacing="0" w:line="360" w:lineRule="auto"/>
        <w:jc w:val="center"/>
        <w:rPr>
          <w:rFonts w:hint="eastAsia" w:ascii="楷体" w:hAnsi="楷体" w:eastAsia="楷体"/>
          <w:b/>
          <w:sz w:val="36"/>
          <w:szCs w:val="36"/>
          <w:highlight w:val="none"/>
        </w:rPr>
      </w:pPr>
      <w:r>
        <w:rPr>
          <w:rFonts w:hint="eastAsia" w:ascii="楷体" w:hAnsi="楷体" w:eastAsia="楷体"/>
          <w:b/>
          <w:sz w:val="36"/>
          <w:szCs w:val="36"/>
          <w:highlight w:val="none"/>
        </w:rPr>
        <w:t>“苏银理财恒源日申月持1号”</w:t>
      </w:r>
    </w:p>
    <w:p>
      <w:pPr>
        <w:pStyle w:val="12"/>
        <w:spacing w:before="0" w:beforeAutospacing="0" w:after="0" w:afterAutospacing="0" w:line="360" w:lineRule="auto"/>
        <w:jc w:val="center"/>
        <w:rPr>
          <w:rFonts w:hint="eastAsia" w:ascii="楷体" w:hAnsi="楷体" w:eastAsia="楷体"/>
          <w:b/>
          <w:sz w:val="36"/>
          <w:szCs w:val="36"/>
          <w:highlight w:val="none"/>
        </w:rPr>
      </w:pPr>
      <w:r>
        <w:rPr>
          <w:rFonts w:hint="eastAsia" w:ascii="楷体" w:hAnsi="楷体" w:eastAsia="楷体"/>
          <w:b/>
          <w:sz w:val="36"/>
          <w:szCs w:val="36"/>
          <w:highlight w:val="none"/>
        </w:rPr>
        <w:t>理财产品合同</w:t>
      </w:r>
    </w:p>
    <w:p>
      <w:pPr>
        <w:pStyle w:val="12"/>
        <w:spacing w:before="0" w:beforeAutospacing="0" w:after="0" w:afterAutospacing="0" w:line="360" w:lineRule="auto"/>
        <w:jc w:val="center"/>
        <w:rPr>
          <w:rFonts w:hint="eastAsia" w:ascii="楷体" w:hAnsi="楷体" w:eastAsia="楷体"/>
          <w:b/>
          <w:highlight w:val="none"/>
        </w:rPr>
      </w:pPr>
      <w:r>
        <w:rPr>
          <w:rFonts w:hint="eastAsia" w:ascii="楷体" w:hAnsi="楷体" w:eastAsia="楷体"/>
          <w:b/>
          <w:sz w:val="32"/>
          <w:szCs w:val="32"/>
          <w:highlight w:val="none"/>
        </w:rPr>
        <w:t>理财非存款、产品有风险、投资须谨慎</w:t>
      </w:r>
    </w:p>
    <w:p>
      <w:pPr>
        <w:pStyle w:val="12"/>
        <w:spacing w:before="0" w:beforeAutospacing="0" w:after="0" w:afterAutospacing="0" w:line="360" w:lineRule="auto"/>
        <w:jc w:val="center"/>
        <w:rPr>
          <w:rFonts w:hint="eastAsia" w:ascii="楷体" w:hAnsi="楷体" w:eastAsia="楷体"/>
          <w:b/>
          <w:highlight w:val="none"/>
        </w:rPr>
      </w:pPr>
      <w:r>
        <w:rPr>
          <w:rFonts w:hint="eastAsia" w:ascii="楷体" w:hAnsi="楷体" w:eastAsia="楷体"/>
          <w:b/>
          <w:highlight w:val="none"/>
        </w:rPr>
        <w:t>（202</w:t>
      </w:r>
      <w:r>
        <w:rPr>
          <w:rFonts w:hint="eastAsia" w:ascii="楷体" w:hAnsi="楷体" w:eastAsia="楷体"/>
          <w:b/>
          <w:highlight w:val="none"/>
          <w:lang w:val="en-US" w:eastAsia="zh-CN"/>
        </w:rPr>
        <w:t>5</w:t>
      </w:r>
      <w:r>
        <w:rPr>
          <w:rFonts w:hint="eastAsia" w:ascii="楷体" w:hAnsi="楷体" w:eastAsia="楷体"/>
          <w:b/>
          <w:highlight w:val="none"/>
        </w:rPr>
        <w:t>年</w:t>
      </w:r>
      <w:r>
        <w:rPr>
          <w:rFonts w:hint="eastAsia" w:ascii="楷体" w:hAnsi="楷体" w:eastAsia="楷体"/>
          <w:b/>
          <w:highlight w:val="none"/>
          <w:lang w:val="en-US" w:eastAsia="zh-CN"/>
        </w:rPr>
        <w:t>10</w:t>
      </w:r>
      <w:r>
        <w:rPr>
          <w:rFonts w:hint="eastAsia" w:ascii="楷体" w:hAnsi="楷体" w:eastAsia="楷体"/>
          <w:b/>
          <w:highlight w:val="none"/>
        </w:rPr>
        <w:t>月版）</w:t>
      </w:r>
    </w:p>
    <w:p>
      <w:pPr>
        <w:pStyle w:val="12"/>
        <w:spacing w:before="0" w:beforeAutospacing="0" w:after="0" w:afterAutospacing="0" w:line="360" w:lineRule="auto"/>
        <w:rPr>
          <w:rFonts w:hint="eastAsia" w:ascii="楷体" w:hAnsi="楷体" w:eastAsia="楷体"/>
          <w:b/>
          <w:sz w:val="30"/>
          <w:szCs w:val="30"/>
          <w:highlight w:val="none"/>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“苏银理财恒源日申月持1号”理财产品风险揭示书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“苏银理财恒源日申月持1号”理财产品说明书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r>
              <w:rPr>
                <w:rStyle w:val="20"/>
                <w:rFonts w:ascii="楷体" w:hAnsi="楷体" w:eastAsia="楷体"/>
                <w:highlight w:val="none"/>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highlight w:val="none"/>
              </w:rPr>
            </w:pPr>
            <w:r>
              <w:rPr>
                <w:rFonts w:hint="eastAsia" w:ascii="楷体" w:hAnsi="楷体" w:eastAsia="楷体"/>
                <w:sz w:val="18"/>
                <w:szCs w:val="18"/>
                <w:highlight w:val="none"/>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highlight w:val="none"/>
              </w:rPr>
            </w:pPr>
            <w:r>
              <w:rPr>
                <w:rFonts w:hint="eastAsia" w:ascii="楷体" w:hAnsi="楷体" w:eastAsia="楷体"/>
                <w:sz w:val="18"/>
                <w:szCs w:val="18"/>
                <w:highlight w:val="none"/>
                <w:lang w:eastAsia="zh-CN"/>
              </w:rPr>
              <w:t>理财产品（代理）销售协议书</w:t>
            </w:r>
            <w:r>
              <w:rPr>
                <w:rStyle w:val="20"/>
                <w:rFonts w:ascii="楷体" w:hAnsi="楷体" w:eastAsia="楷体"/>
                <w:highlight w:val="none"/>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highlight w:val="none"/>
                <w:lang w:eastAsia="zh-CN"/>
              </w:rPr>
            </w:pPr>
            <w:r>
              <w:rPr>
                <w:rFonts w:hint="eastAsia" w:ascii="楷体" w:hAnsi="楷体" w:eastAsia="楷体"/>
                <w:sz w:val="18"/>
                <w:szCs w:val="18"/>
                <w:highlight w:val="none"/>
                <w:lang w:eastAsia="zh-CN"/>
              </w:rPr>
              <w:t>理财产品（代理）销售协议书</w:t>
            </w:r>
          </w:p>
        </w:tc>
      </w:tr>
    </w:tbl>
    <w:p>
      <w:pPr>
        <w:pStyle w:val="12"/>
        <w:rPr>
          <w:rFonts w:hint="eastAsia" w:ascii="楷体" w:hAnsi="楷体" w:eastAsia="楷体"/>
          <w:highlight w:val="none"/>
        </w:rPr>
      </w:pPr>
    </w:p>
    <w:p>
      <w:pPr>
        <w:pStyle w:val="12"/>
        <w:spacing w:before="0" w:beforeAutospacing="0" w:after="0" w:afterAutospacing="0" w:line="280" w:lineRule="atLeast"/>
        <w:rPr>
          <w:rFonts w:hint="eastAsia" w:ascii="楷体" w:hAnsi="楷体" w:eastAsia="楷体"/>
          <w:highlight w:val="none"/>
        </w:rPr>
      </w:pPr>
      <w:r>
        <w:rPr>
          <w:rStyle w:val="17"/>
          <w:rFonts w:hint="eastAsia" w:ascii="楷体" w:hAnsi="楷体" w:eastAsia="楷体"/>
          <w:bCs w:val="0"/>
          <w:highlight w:val="none"/>
        </w:rPr>
        <w:t>郑重提示：</w:t>
      </w:r>
    </w:p>
    <w:p>
      <w:pPr>
        <w:pStyle w:val="12"/>
        <w:spacing w:before="0" w:beforeAutospacing="0" w:after="0" w:afterAutospacing="0"/>
        <w:ind w:firstLine="480" w:firstLineChars="200"/>
        <w:rPr>
          <w:rFonts w:hint="eastAsia" w:ascii="楷体" w:hAnsi="楷体" w:eastAsia="楷体"/>
          <w:highlight w:val="none"/>
        </w:rPr>
      </w:pPr>
      <w:r>
        <w:rPr>
          <w:rFonts w:hint="eastAsia" w:ascii="楷体" w:hAnsi="楷体" w:eastAsia="楷体" w:cs="Times New Roman"/>
          <w:highlight w:val="none"/>
        </w:rPr>
        <w:t>《风险揭示书》、《理财产品说明书》、《理财产品投资协议书》、《投资者权益须知》、《</w:t>
      </w:r>
      <w:r>
        <w:rPr>
          <w:rFonts w:hint="eastAsia" w:ascii="楷体" w:hAnsi="楷体" w:eastAsia="楷体" w:cs="Times New Roman"/>
          <w:highlight w:val="none"/>
          <w:lang w:eastAsia="zh-CN"/>
        </w:rPr>
        <w:t>理财产品（代理）销售协议书</w:t>
      </w:r>
      <w:r>
        <w:rPr>
          <w:rFonts w:hint="eastAsia" w:ascii="楷体" w:hAnsi="楷体" w:eastAsia="楷体" w:cs="Times New Roman"/>
          <w:highlight w:val="none"/>
        </w:rPr>
        <w:t>》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pageBreakBefore/>
        <w:spacing w:before="0" w:beforeAutospacing="0" w:after="0" w:afterAutospacing="0" w:line="360" w:lineRule="auto"/>
        <w:jc w:val="center"/>
        <w:rPr>
          <w:rFonts w:hint="eastAsia" w:ascii="楷体" w:hAnsi="楷体" w:eastAsia="楷体"/>
          <w:b/>
          <w:sz w:val="32"/>
          <w:szCs w:val="32"/>
        </w:rPr>
      </w:pPr>
      <w:r>
        <w:rPr>
          <w:rFonts w:hint="eastAsia" w:ascii="楷体" w:hAnsi="楷体" w:eastAsia="楷体"/>
          <w:b/>
          <w:sz w:val="32"/>
          <w:szCs w:val="32"/>
        </w:rPr>
        <w:t>“苏银理财恒源日申月持1号”理财产品风险揭示书</w:t>
      </w:r>
    </w:p>
    <w:p>
      <w:pPr>
        <w:jc w:val="center"/>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w:t>
      </w:r>
      <w:r>
        <w:rPr>
          <w:rFonts w:hint="eastAsia" w:ascii="楷体" w:hAnsi="楷体" w:eastAsia="楷体" w:cs="Times New Roman"/>
          <w:lang w:eastAsia="zh-CN"/>
        </w:rPr>
        <w:t>理财产品（代理）销售协议书</w:t>
      </w:r>
      <w:r>
        <w:rPr>
          <w:rFonts w:hint="eastAsia" w:ascii="楷体" w:hAnsi="楷体" w:eastAsia="楷体" w:cs="Times New Roman"/>
        </w:rPr>
        <w:t>》），了解理财产品具体情况；在您购买理财产品后，请关注本理财产品的信息披露，及时获取相关信息。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rPr>
      </w:pPr>
      <w:r>
        <w:rPr>
          <w:rFonts w:hint="eastAsia" w:ascii="楷体" w:hAnsi="楷体" w:eastAsia="楷体"/>
          <w:sz w:val="28"/>
          <w:szCs w:val="28"/>
        </w:rPr>
        <w:t>风险揭示</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u w:val="single"/>
        </w:rPr>
      </w:pPr>
      <w:r>
        <w:rPr>
          <w:rFonts w:hint="eastAsia" w:ascii="楷体" w:hAnsi="楷体" w:eastAsia="楷体"/>
          <w:b/>
          <w:sz w:val="24"/>
          <w:szCs w:val="24"/>
          <w:highlight w:val="none"/>
        </w:rPr>
        <w:t>流动性风险：</w:t>
      </w:r>
      <w:r>
        <w:rPr>
          <w:rFonts w:hint="eastAsia" w:ascii="楷体" w:hAnsi="楷体" w:eastAsia="楷体" w:cs="Times New Roman"/>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b w:val="0"/>
          <w:bCs/>
          <w:sz w:val="24"/>
          <w:szCs w:val="24"/>
          <w:highlight w:val="none"/>
        </w:rPr>
      </w:pPr>
      <w:r>
        <w:rPr>
          <w:rFonts w:hint="eastAsia" w:ascii="楷体" w:hAnsi="楷体" w:eastAsia="楷体"/>
          <w:b/>
          <w:sz w:val="24"/>
          <w:szCs w:val="24"/>
          <w:highlight w:val="none"/>
        </w:rPr>
        <w:t>理财产品的份额类别差异风险：</w:t>
      </w:r>
      <w:r>
        <w:rPr>
          <w:rFonts w:hint="eastAsia" w:ascii="楷体" w:hAnsi="楷体" w:eastAsia="楷体"/>
          <w:b w:val="0"/>
          <w:bCs/>
          <w:sz w:val="24"/>
          <w:szCs w:val="24"/>
          <w:highlight w:val="none"/>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特定投资标的风险：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宏观经济运行周期性波动，对股票市场的收益水平产生影响的风险。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上市公司的经营状况受多种因素影响，如市场、技术、竞争、管理、财务等都会导致公司盈利发生变化，从而导致股票价格变动的风险。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4"/>
        </w:numPr>
        <w:tabs>
          <w:tab w:val="left" w:pos="742"/>
        </w:tabs>
        <w:ind w:left="0" w:firstLine="480" w:firstLine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结构性存款的特殊风险：</w:t>
      </w:r>
    </w:p>
    <w:p>
      <w:pPr>
        <w:numPr>
          <w:ilvl w:val="0"/>
          <w:numId w:val="8"/>
        </w:numPr>
        <w:tabs>
          <w:tab w:val="left" w:pos="1092"/>
        </w:tabs>
        <w:ind w:firstLine="480" w:firstLineChars="200"/>
        <w:rPr>
          <w:rFonts w:hint="default" w:ascii="楷体" w:hAnsi="楷体" w:eastAsia="楷体"/>
          <w:sz w:val="24"/>
          <w:szCs w:val="24"/>
          <w:highlight w:val="none"/>
          <w:lang w:val="en-US" w:eastAsia="zh-CN"/>
        </w:rPr>
      </w:pPr>
      <w:r>
        <w:rPr>
          <w:rFonts w:hint="default" w:ascii="楷体" w:hAnsi="楷体" w:eastAsia="楷体"/>
          <w:sz w:val="24"/>
          <w:szCs w:val="24"/>
          <w:highlight w:val="none"/>
          <w:lang w:val="en-US" w:eastAsia="zh-CN"/>
        </w:rPr>
        <w:t>市场风险。结构性存款挂钩的境内外债券、股票、利率、汇率、指数等标的受相关国家或地区的金融市场和经济趋势的影响，收益存在不确定性。</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利率风险。结构性存款如挂钩特定债券或债券指数，可能因相关利率变动而导致产品收益发生变化。</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汇率风险。结构性存款如挂钩境外证券资产，可能面临以非人民币计价的各类资产受汇率波动影响而引起人民币估值下的理财产品资产净值波动的风险。</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w:t>
      </w:r>
      <w:r>
        <w:rPr>
          <w:rFonts w:hint="eastAsia" w:ascii="楷体" w:hAnsi="楷体" w:eastAsia="楷体"/>
          <w:b/>
          <w:highlight w:val="none"/>
          <w:u w:val="single"/>
          <w:lang w:eastAsia="zh-CN"/>
        </w:rPr>
        <w:t>理财产品（代理）销售协议书</w:t>
      </w:r>
      <w:r>
        <w:rPr>
          <w:rFonts w:hint="eastAsia" w:ascii="楷体" w:hAnsi="楷体" w:eastAsia="楷体"/>
          <w:b/>
          <w:highlight w:val="none"/>
          <w:u w:val="single"/>
        </w:rPr>
        <w:t>前，应当仔细阅读风险揭示书、理财产品说明书、投资者权益须知、理财产品投资协议书及</w:t>
      </w:r>
      <w:r>
        <w:rPr>
          <w:rFonts w:hint="eastAsia" w:ascii="楷体" w:hAnsi="楷体" w:eastAsia="楷体"/>
          <w:b/>
          <w:highlight w:val="none"/>
          <w:u w:val="single"/>
          <w:lang w:eastAsia="zh-CN"/>
        </w:rPr>
        <w:t>理财产品（代理）销售协议书</w:t>
      </w:r>
      <w:r>
        <w:rPr>
          <w:rFonts w:hint="eastAsia" w:ascii="楷体" w:hAnsi="楷体" w:eastAsia="楷体"/>
          <w:b/>
          <w:highlight w:val="none"/>
          <w:u w:val="single"/>
        </w:rPr>
        <w:t>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highlight w:val="none"/>
        </w:rPr>
      </w:pPr>
      <w:r>
        <w:rPr>
          <w:rFonts w:hint="eastAsia" w:ascii="楷体" w:hAnsi="楷体" w:eastAsia="楷体"/>
          <w:sz w:val="28"/>
          <w:szCs w:val="28"/>
          <w:highlight w:val="none"/>
        </w:rPr>
        <w:t>投资者提示</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★★二级，适合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u w:val="single"/>
        </w:rPr>
        <w:t>。</w:t>
      </w:r>
      <w:r>
        <w:rPr>
          <w:rFonts w:hint="eastAsia" w:ascii="楷体" w:hAnsi="楷体" w:eastAsia="楷体"/>
          <w:b/>
          <w:bCs/>
          <w:sz w:val="24"/>
          <w:szCs w:val="24"/>
          <w:highlight w:val="none"/>
          <w:u w:val="single"/>
        </w:rPr>
        <w:t>如本产品通过代理销售机构渠道销售，理财产品评级以代理销售机构最终披露的评级结果为准</w:t>
      </w:r>
      <w:r>
        <w:rPr>
          <w:rFonts w:hint="eastAsia" w:ascii="楷体" w:hAnsi="楷体" w:eastAsia="楷体"/>
          <w:b/>
          <w:sz w:val="24"/>
          <w:szCs w:val="24"/>
          <w:highlight w:val="none"/>
          <w:u w:val="single"/>
        </w:rPr>
        <w:t>。</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highlight w:val="none"/>
        </w:rPr>
      </w:pPr>
      <w:r>
        <w:rPr>
          <w:rFonts w:hint="eastAsia" w:ascii="楷体" w:hAnsi="楷体" w:eastAsia="楷体"/>
          <w:sz w:val="24"/>
          <w:szCs w:val="24"/>
          <w:highlight w:val="none"/>
        </w:rPr>
        <w:t>6.本理财产品的风险揭示书、理财产品说明书、投资者权益须知、理财产品投资协议书及</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w:t>
      </w:r>
      <w:r>
        <w:rPr>
          <w:rFonts w:hint="eastAsia" w:ascii="楷体" w:hAnsi="楷体" w:eastAsia="楷体"/>
          <w:b/>
          <w:sz w:val="24"/>
          <w:szCs w:val="24"/>
        </w:rPr>
        <w:t>示例：如投资者购买本理财产品，本金为1万元，在理财产品资产组合项下资产全部亏损的最不利情况下，理财产品1万元本金将全部损失。</w:t>
      </w:r>
    </w:p>
    <w:p>
      <w:pPr>
        <w:tabs>
          <w:tab w:val="left" w:pos="742"/>
        </w:tabs>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7.苏银理财及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w:t>
      </w:r>
      <w:r>
        <w:rPr>
          <w:rFonts w:hint="eastAsia" w:ascii="楷体" w:hAnsi="楷体" w:eastAsia="楷体"/>
          <w:sz w:val="24"/>
          <w:szCs w:val="24"/>
          <w:highlight w:val="none"/>
          <w:lang w:val="en-US" w:eastAsia="zh-CN"/>
        </w:rPr>
        <w:t>根据</w:t>
      </w:r>
      <w:r>
        <w:rPr>
          <w:rFonts w:hint="eastAsia" w:ascii="楷体" w:hAnsi="楷体" w:eastAsia="楷体"/>
          <w:sz w:val="24"/>
          <w:szCs w:val="24"/>
          <w:highlight w:val="none"/>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highlight w:val="none"/>
        </w:rPr>
      </w:pPr>
    </w:p>
    <w:p>
      <w:pPr>
        <w:pStyle w:val="12"/>
        <w:spacing w:before="0" w:beforeAutospacing="0" w:after="0" w:afterAutospacing="0" w:line="360" w:lineRule="auto"/>
        <w:ind w:left="420"/>
        <w:jc w:val="right"/>
        <w:rPr>
          <w:rFonts w:ascii="楷体" w:hAnsi="楷体" w:eastAsia="楷体"/>
          <w:b/>
        </w:rPr>
      </w:pPr>
      <w:r>
        <w:rPr>
          <w:rFonts w:hint="eastAsia" w:ascii="楷体" w:hAnsi="楷体" w:eastAsia="楷体"/>
          <w:b/>
          <w:highlight w:val="none"/>
        </w:rPr>
        <w:t>风险揭示方：苏银理财有限责任公司</w:t>
      </w:r>
    </w:p>
    <w:p>
      <w:pPr>
        <w:pStyle w:val="12"/>
        <w:spacing w:before="0" w:beforeAutospacing="0" w:after="0" w:afterAutospacing="0" w:line="360" w:lineRule="auto"/>
        <w:jc w:val="center"/>
        <w:rPr>
          <w:rFonts w:ascii="楷体" w:hAnsi="楷体" w:eastAsia="楷体"/>
          <w:b/>
          <w:sz w:val="36"/>
          <w:szCs w:val="36"/>
          <w:highlight w:val="none"/>
        </w:rPr>
      </w:pPr>
      <w:r>
        <w:rPr>
          <w:rFonts w:ascii="楷体" w:hAnsi="楷体" w:eastAsia="楷体"/>
          <w:b/>
        </w:rPr>
        <w:br w:type="page"/>
      </w:r>
      <w:r>
        <w:rPr>
          <w:rFonts w:hint="eastAsia" w:ascii="楷体" w:hAnsi="楷体" w:eastAsia="楷体"/>
          <w:b/>
          <w:sz w:val="36"/>
          <w:szCs w:val="36"/>
          <w:highlight w:val="none"/>
        </w:rPr>
        <w:t>投资者风险确认函</w:t>
      </w:r>
    </w:p>
    <w:p>
      <w:pPr>
        <w:numPr>
          <w:ilvl w:val="0"/>
          <w:numId w:val="10"/>
        </w:numPr>
        <w:tabs>
          <w:tab w:val="left" w:pos="1134"/>
        </w:tabs>
        <w:ind w:firstLine="560" w:firstLineChars="20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highlight w:val="none"/>
          <w:u w:val="single"/>
        </w:rPr>
        <w:t>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hint="eastAsia" w:ascii="楷体" w:hAnsi="楷体" w:eastAsia="楷体"/>
          <w:b/>
          <w:sz w:val="24"/>
          <w:szCs w:val="24"/>
          <w:highlight w:val="none"/>
        </w:rPr>
      </w:pPr>
    </w:p>
    <w:p>
      <w:pPr>
        <w:ind w:firstLine="480" w:firstLineChars="200"/>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hint="eastAsia" w:ascii="楷体" w:hAnsi="楷体" w:eastAsia="楷体"/>
          <w:sz w:val="24"/>
          <w:szCs w:val="24"/>
          <w:highlight w:val="none"/>
          <w:u w:val="single"/>
        </w:rPr>
      </w:pPr>
    </w:p>
    <w:p>
      <w:pPr>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hint="eastAsia"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hint="eastAsia" w:ascii="楷体" w:hAnsi="楷体" w:eastAsia="楷体"/>
          <w:sz w:val="24"/>
          <w:szCs w:val="24"/>
          <w:highlight w:val="none"/>
        </w:rPr>
      </w:pPr>
      <w:r>
        <w:rPr>
          <w:rFonts w:hint="eastAsia" w:ascii="楷体" w:hAnsi="楷体" w:eastAsia="楷体"/>
          <w:sz w:val="24"/>
          <w:szCs w:val="24"/>
          <w:highlight w:val="none"/>
        </w:rPr>
        <w:t>年   月   日</w:t>
      </w:r>
    </w:p>
    <w:p>
      <w:pPr>
        <w:numPr>
          <w:ilvl w:val="0"/>
          <w:numId w:val="10"/>
        </w:numPr>
        <w:tabs>
          <w:tab w:val="left" w:pos="1134"/>
        </w:tabs>
        <w:ind w:firstLine="560" w:firstLineChars="200"/>
        <w:rPr>
          <w:rFonts w:hint="eastAsia"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w:t>
      </w:r>
      <w:r>
        <w:rPr>
          <w:rFonts w:hint="eastAsia" w:ascii="楷体" w:hAnsi="楷体" w:eastAsia="楷体"/>
          <w:b/>
          <w:bCs/>
          <w:sz w:val="24"/>
          <w:szCs w:val="24"/>
          <w:highlight w:val="none"/>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p>
    <w:p>
      <w:pPr>
        <w:rPr>
          <w:rFonts w:hint="eastAsia" w:ascii="楷体" w:hAnsi="楷体" w:eastAsia="楷体"/>
          <w:sz w:val="24"/>
          <w:szCs w:val="24"/>
          <w:highlight w:val="none"/>
        </w:rPr>
      </w:pPr>
    </w:p>
    <w:p>
      <w:pPr>
        <w:rPr>
          <w:rFonts w:hint="eastAsia" w:ascii="楷体" w:hAnsi="楷体" w:eastAsia="楷体"/>
          <w:sz w:val="24"/>
          <w:szCs w:val="24"/>
          <w:highlight w:val="none"/>
        </w:rPr>
      </w:pPr>
      <w:r>
        <w:rPr>
          <w:rFonts w:hint="eastAsia" w:ascii="楷体" w:hAnsi="楷体" w:eastAsia="楷体"/>
          <w:sz w:val="24"/>
          <w:szCs w:val="24"/>
          <w:highlight w:val="none"/>
        </w:rPr>
        <w:t>机构投资者（盖章）：</w:t>
      </w:r>
    </w:p>
    <w:p>
      <w:pPr>
        <w:rPr>
          <w:rFonts w:hint="eastAsia" w:ascii="楷体" w:hAnsi="楷体" w:eastAsia="楷体" w:cs="Times New Roman"/>
          <w:sz w:val="24"/>
          <w:szCs w:val="24"/>
          <w:highlight w:val="none"/>
        </w:rPr>
      </w:pP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机构投资者法定代表人或授权代表（签字或盖章）</w:t>
      </w:r>
    </w:p>
    <w:p>
      <w:pPr>
        <w:rPr>
          <w:rFonts w:hint="eastAsia" w:ascii="楷体" w:hAnsi="楷体" w:eastAsia="楷体"/>
          <w:highlight w:val="none"/>
        </w:rPr>
      </w:pPr>
    </w:p>
    <w:p>
      <w:pPr>
        <w:ind w:firstLine="360" w:firstLineChars="150"/>
        <w:jc w:val="right"/>
        <w:rPr>
          <w:rFonts w:ascii="楷体" w:hAnsi="楷体" w:eastAsia="楷体"/>
          <w:sz w:val="24"/>
          <w:szCs w:val="24"/>
          <w:highlight w:val="none"/>
        </w:rPr>
      </w:pPr>
      <w:r>
        <w:rPr>
          <w:rFonts w:hint="eastAsia" w:ascii="楷体" w:hAnsi="楷体" w:eastAsia="楷体"/>
          <w:sz w:val="24"/>
          <w:szCs w:val="24"/>
          <w:highlight w:val="none"/>
        </w:rPr>
        <w:t>年   月   日</w:t>
      </w:r>
    </w:p>
    <w:p>
      <w:pPr>
        <w:rPr>
          <w:rFonts w:hint="eastAsia"/>
        </w:rPr>
      </w:pPr>
      <w:bookmarkStart w:id="0" w:name="_GoBack"/>
      <w:bookmarkEnd w:id="0"/>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投资者权益须知的名称和内容以销售机构实际使用为准。</w:t>
      </w:r>
    </w:p>
  </w:footnote>
  <w:footnote w:id="1">
    <w:p>
      <w:pPr>
        <w:pStyle w:val="11"/>
        <w:rPr>
          <w:rFonts w:hint="eastAsia"/>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4">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7">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9">
    <w:nsid w:val="79465E6D"/>
    <w:multiLevelType w:val="singleLevel"/>
    <w:tmpl w:val="79465E6D"/>
    <w:lvl w:ilvl="0" w:tentative="0">
      <w:start w:val="1"/>
      <w:numFmt w:val="decimal"/>
      <w:suff w:val="nothing"/>
      <w:lvlText w:val="（%1）"/>
      <w:lvlJc w:val="left"/>
    </w:lvl>
  </w:abstractNum>
  <w:num w:numId="1">
    <w:abstractNumId w:val="5"/>
  </w:num>
  <w:num w:numId="2">
    <w:abstractNumId w:val="2"/>
  </w:num>
  <w:num w:numId="3">
    <w:abstractNumId w:val="7"/>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9"/>
  </w:num>
  <w:num w:numId="9">
    <w:abstractNumId w:val="1"/>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2F"/>
    <w:rsid w:val="00001A68"/>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AB0"/>
    <w:rsid w:val="0002052D"/>
    <w:rsid w:val="000206F2"/>
    <w:rsid w:val="00020A6F"/>
    <w:rsid w:val="00021007"/>
    <w:rsid w:val="00023BA8"/>
    <w:rsid w:val="000247F9"/>
    <w:rsid w:val="00024A9F"/>
    <w:rsid w:val="00027E61"/>
    <w:rsid w:val="00027F48"/>
    <w:rsid w:val="0003072E"/>
    <w:rsid w:val="00030D69"/>
    <w:rsid w:val="00031806"/>
    <w:rsid w:val="00031F80"/>
    <w:rsid w:val="00034890"/>
    <w:rsid w:val="00035097"/>
    <w:rsid w:val="00036482"/>
    <w:rsid w:val="000379B3"/>
    <w:rsid w:val="000405B1"/>
    <w:rsid w:val="00043D5F"/>
    <w:rsid w:val="000461C3"/>
    <w:rsid w:val="000469D0"/>
    <w:rsid w:val="00050975"/>
    <w:rsid w:val="00051317"/>
    <w:rsid w:val="00054854"/>
    <w:rsid w:val="000554B0"/>
    <w:rsid w:val="00060571"/>
    <w:rsid w:val="00061D74"/>
    <w:rsid w:val="00062791"/>
    <w:rsid w:val="00063EE4"/>
    <w:rsid w:val="00064F2B"/>
    <w:rsid w:val="00066F56"/>
    <w:rsid w:val="000672B6"/>
    <w:rsid w:val="000677EE"/>
    <w:rsid w:val="000679B3"/>
    <w:rsid w:val="00071418"/>
    <w:rsid w:val="00071581"/>
    <w:rsid w:val="0007293A"/>
    <w:rsid w:val="00072D1F"/>
    <w:rsid w:val="0007366C"/>
    <w:rsid w:val="00073926"/>
    <w:rsid w:val="00074189"/>
    <w:rsid w:val="00074306"/>
    <w:rsid w:val="00080C2C"/>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F9"/>
    <w:rsid w:val="000C54ED"/>
    <w:rsid w:val="000C6143"/>
    <w:rsid w:val="000C7382"/>
    <w:rsid w:val="000D08F8"/>
    <w:rsid w:val="000D1119"/>
    <w:rsid w:val="000D2387"/>
    <w:rsid w:val="000D35BD"/>
    <w:rsid w:val="000D71CF"/>
    <w:rsid w:val="000D7225"/>
    <w:rsid w:val="000D722C"/>
    <w:rsid w:val="000E0485"/>
    <w:rsid w:val="000E2E7D"/>
    <w:rsid w:val="000E34F3"/>
    <w:rsid w:val="000E400B"/>
    <w:rsid w:val="000E4205"/>
    <w:rsid w:val="000E7CF6"/>
    <w:rsid w:val="000F0433"/>
    <w:rsid w:val="000F0802"/>
    <w:rsid w:val="000F170A"/>
    <w:rsid w:val="000F1D3C"/>
    <w:rsid w:val="000F3DD2"/>
    <w:rsid w:val="000F4243"/>
    <w:rsid w:val="000F4ABF"/>
    <w:rsid w:val="000F58BF"/>
    <w:rsid w:val="000F5B66"/>
    <w:rsid w:val="000F5FF6"/>
    <w:rsid w:val="000F65C5"/>
    <w:rsid w:val="000F7056"/>
    <w:rsid w:val="000F7D2C"/>
    <w:rsid w:val="000F7F9F"/>
    <w:rsid w:val="00100F0C"/>
    <w:rsid w:val="001025A3"/>
    <w:rsid w:val="0010303D"/>
    <w:rsid w:val="001036A0"/>
    <w:rsid w:val="0010457E"/>
    <w:rsid w:val="00104866"/>
    <w:rsid w:val="001065F5"/>
    <w:rsid w:val="00110417"/>
    <w:rsid w:val="001116B6"/>
    <w:rsid w:val="00111E3E"/>
    <w:rsid w:val="001126F6"/>
    <w:rsid w:val="00115E7F"/>
    <w:rsid w:val="00122272"/>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36865"/>
    <w:rsid w:val="00137EA3"/>
    <w:rsid w:val="0014066A"/>
    <w:rsid w:val="00140B25"/>
    <w:rsid w:val="001450DF"/>
    <w:rsid w:val="00146738"/>
    <w:rsid w:val="0014734D"/>
    <w:rsid w:val="00152B36"/>
    <w:rsid w:val="001530B2"/>
    <w:rsid w:val="001539BE"/>
    <w:rsid w:val="001543E7"/>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5CEC"/>
    <w:rsid w:val="00176B8E"/>
    <w:rsid w:val="00177BCC"/>
    <w:rsid w:val="00177D1F"/>
    <w:rsid w:val="0018035B"/>
    <w:rsid w:val="0018251A"/>
    <w:rsid w:val="0018458D"/>
    <w:rsid w:val="001846FB"/>
    <w:rsid w:val="001851F5"/>
    <w:rsid w:val="00185658"/>
    <w:rsid w:val="00194E69"/>
    <w:rsid w:val="00197DD9"/>
    <w:rsid w:val="001A05F5"/>
    <w:rsid w:val="001A46C0"/>
    <w:rsid w:val="001A57DB"/>
    <w:rsid w:val="001A586B"/>
    <w:rsid w:val="001A73F1"/>
    <w:rsid w:val="001B043A"/>
    <w:rsid w:val="001B1D26"/>
    <w:rsid w:val="001B1E1E"/>
    <w:rsid w:val="001B2F76"/>
    <w:rsid w:val="001B2F82"/>
    <w:rsid w:val="001B396B"/>
    <w:rsid w:val="001B4B9C"/>
    <w:rsid w:val="001B7D0D"/>
    <w:rsid w:val="001C13E9"/>
    <w:rsid w:val="001C3F7D"/>
    <w:rsid w:val="001C4148"/>
    <w:rsid w:val="001C57D5"/>
    <w:rsid w:val="001C5E04"/>
    <w:rsid w:val="001C78FF"/>
    <w:rsid w:val="001D0B29"/>
    <w:rsid w:val="001D1C27"/>
    <w:rsid w:val="001D2A8B"/>
    <w:rsid w:val="001D49AC"/>
    <w:rsid w:val="001D4BC9"/>
    <w:rsid w:val="001D4FE1"/>
    <w:rsid w:val="001D78FF"/>
    <w:rsid w:val="001E0387"/>
    <w:rsid w:val="001E223F"/>
    <w:rsid w:val="001E4374"/>
    <w:rsid w:val="001E4A82"/>
    <w:rsid w:val="001E4C0D"/>
    <w:rsid w:val="001E4E95"/>
    <w:rsid w:val="001E577E"/>
    <w:rsid w:val="001E631F"/>
    <w:rsid w:val="001F0A69"/>
    <w:rsid w:val="001F1728"/>
    <w:rsid w:val="001F2658"/>
    <w:rsid w:val="001F3AD6"/>
    <w:rsid w:val="001F3CCB"/>
    <w:rsid w:val="001F63BD"/>
    <w:rsid w:val="001F6775"/>
    <w:rsid w:val="001F69BF"/>
    <w:rsid w:val="00200DF8"/>
    <w:rsid w:val="002024E9"/>
    <w:rsid w:val="00206282"/>
    <w:rsid w:val="0020639A"/>
    <w:rsid w:val="00210354"/>
    <w:rsid w:val="00210857"/>
    <w:rsid w:val="002119A2"/>
    <w:rsid w:val="0022162D"/>
    <w:rsid w:val="002222A4"/>
    <w:rsid w:val="00224F31"/>
    <w:rsid w:val="0022633B"/>
    <w:rsid w:val="00226F9D"/>
    <w:rsid w:val="00230F4A"/>
    <w:rsid w:val="0023523A"/>
    <w:rsid w:val="00235E45"/>
    <w:rsid w:val="002366EB"/>
    <w:rsid w:val="00237FDB"/>
    <w:rsid w:val="0024053C"/>
    <w:rsid w:val="0024338D"/>
    <w:rsid w:val="00243629"/>
    <w:rsid w:val="002436C1"/>
    <w:rsid w:val="00243DF5"/>
    <w:rsid w:val="00245106"/>
    <w:rsid w:val="00245D03"/>
    <w:rsid w:val="00247A7D"/>
    <w:rsid w:val="0025150E"/>
    <w:rsid w:val="00252B51"/>
    <w:rsid w:val="0025318D"/>
    <w:rsid w:val="00253997"/>
    <w:rsid w:val="00253A8D"/>
    <w:rsid w:val="0025423C"/>
    <w:rsid w:val="00254A3C"/>
    <w:rsid w:val="00254A8B"/>
    <w:rsid w:val="00254EF9"/>
    <w:rsid w:val="00256E57"/>
    <w:rsid w:val="0025744E"/>
    <w:rsid w:val="0026641B"/>
    <w:rsid w:val="002672C8"/>
    <w:rsid w:val="00270665"/>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4DD2"/>
    <w:rsid w:val="002A7DF5"/>
    <w:rsid w:val="002A7E94"/>
    <w:rsid w:val="002B0795"/>
    <w:rsid w:val="002B1D8F"/>
    <w:rsid w:val="002B2620"/>
    <w:rsid w:val="002B3225"/>
    <w:rsid w:val="002B5694"/>
    <w:rsid w:val="002C021F"/>
    <w:rsid w:val="002C2056"/>
    <w:rsid w:val="002C23F7"/>
    <w:rsid w:val="002C3367"/>
    <w:rsid w:val="002C5770"/>
    <w:rsid w:val="002C68E0"/>
    <w:rsid w:val="002C7CB4"/>
    <w:rsid w:val="002C7E29"/>
    <w:rsid w:val="002D2324"/>
    <w:rsid w:val="002D29FD"/>
    <w:rsid w:val="002D2AEC"/>
    <w:rsid w:val="002D2C1F"/>
    <w:rsid w:val="002D4E9A"/>
    <w:rsid w:val="002D65D8"/>
    <w:rsid w:val="002D664D"/>
    <w:rsid w:val="002D6D09"/>
    <w:rsid w:val="002E1382"/>
    <w:rsid w:val="002E6F55"/>
    <w:rsid w:val="002F04F7"/>
    <w:rsid w:val="002F0E4E"/>
    <w:rsid w:val="002F344B"/>
    <w:rsid w:val="002F4E74"/>
    <w:rsid w:val="002F709A"/>
    <w:rsid w:val="002F77A8"/>
    <w:rsid w:val="00301619"/>
    <w:rsid w:val="00301AD3"/>
    <w:rsid w:val="00302755"/>
    <w:rsid w:val="003055CF"/>
    <w:rsid w:val="00305A15"/>
    <w:rsid w:val="00306353"/>
    <w:rsid w:val="00306D41"/>
    <w:rsid w:val="00307094"/>
    <w:rsid w:val="00307342"/>
    <w:rsid w:val="003076C5"/>
    <w:rsid w:val="00310A72"/>
    <w:rsid w:val="00311C18"/>
    <w:rsid w:val="0031298C"/>
    <w:rsid w:val="00313D52"/>
    <w:rsid w:val="00314235"/>
    <w:rsid w:val="00322C4A"/>
    <w:rsid w:val="00324E2B"/>
    <w:rsid w:val="0032607C"/>
    <w:rsid w:val="00326E7B"/>
    <w:rsid w:val="0033166C"/>
    <w:rsid w:val="0033358A"/>
    <w:rsid w:val="003342B8"/>
    <w:rsid w:val="0033504B"/>
    <w:rsid w:val="003357C4"/>
    <w:rsid w:val="003362C7"/>
    <w:rsid w:val="00336A5A"/>
    <w:rsid w:val="00337AA0"/>
    <w:rsid w:val="00340F90"/>
    <w:rsid w:val="00342ADB"/>
    <w:rsid w:val="00343B0F"/>
    <w:rsid w:val="00347006"/>
    <w:rsid w:val="00347C86"/>
    <w:rsid w:val="00347D0D"/>
    <w:rsid w:val="003503AE"/>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146"/>
    <w:rsid w:val="003A27B8"/>
    <w:rsid w:val="003A3D8C"/>
    <w:rsid w:val="003A539D"/>
    <w:rsid w:val="003A547A"/>
    <w:rsid w:val="003A5FA1"/>
    <w:rsid w:val="003A7623"/>
    <w:rsid w:val="003A7EEE"/>
    <w:rsid w:val="003B324C"/>
    <w:rsid w:val="003B6220"/>
    <w:rsid w:val="003B67D8"/>
    <w:rsid w:val="003B76DC"/>
    <w:rsid w:val="003C1E93"/>
    <w:rsid w:val="003C596C"/>
    <w:rsid w:val="003C6A84"/>
    <w:rsid w:val="003C7610"/>
    <w:rsid w:val="003D03AF"/>
    <w:rsid w:val="003D07CA"/>
    <w:rsid w:val="003D1FE5"/>
    <w:rsid w:val="003D3735"/>
    <w:rsid w:val="003D4ECB"/>
    <w:rsid w:val="003D5148"/>
    <w:rsid w:val="003D582B"/>
    <w:rsid w:val="003D5961"/>
    <w:rsid w:val="003D5C90"/>
    <w:rsid w:val="003D6081"/>
    <w:rsid w:val="003D6720"/>
    <w:rsid w:val="003D6B3F"/>
    <w:rsid w:val="003D7951"/>
    <w:rsid w:val="003E030F"/>
    <w:rsid w:val="003E07CF"/>
    <w:rsid w:val="003E1EFB"/>
    <w:rsid w:val="003E2B26"/>
    <w:rsid w:val="003E4299"/>
    <w:rsid w:val="003E70B9"/>
    <w:rsid w:val="003E7812"/>
    <w:rsid w:val="003F2136"/>
    <w:rsid w:val="003F275B"/>
    <w:rsid w:val="003F277A"/>
    <w:rsid w:val="003F31E6"/>
    <w:rsid w:val="003F40F9"/>
    <w:rsid w:val="003F4C40"/>
    <w:rsid w:val="003F52FE"/>
    <w:rsid w:val="003F580D"/>
    <w:rsid w:val="003F61D7"/>
    <w:rsid w:val="003F7D2D"/>
    <w:rsid w:val="00401F3A"/>
    <w:rsid w:val="0040272E"/>
    <w:rsid w:val="00402EA0"/>
    <w:rsid w:val="004041C9"/>
    <w:rsid w:val="00404615"/>
    <w:rsid w:val="004079CC"/>
    <w:rsid w:val="004106A7"/>
    <w:rsid w:val="004108D9"/>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583D"/>
    <w:rsid w:val="00487169"/>
    <w:rsid w:val="00490539"/>
    <w:rsid w:val="004907EE"/>
    <w:rsid w:val="004910C2"/>
    <w:rsid w:val="00491342"/>
    <w:rsid w:val="00491B25"/>
    <w:rsid w:val="004925DF"/>
    <w:rsid w:val="004929D1"/>
    <w:rsid w:val="004939CA"/>
    <w:rsid w:val="00497627"/>
    <w:rsid w:val="00497D5C"/>
    <w:rsid w:val="004A0025"/>
    <w:rsid w:val="004A11E1"/>
    <w:rsid w:val="004A243A"/>
    <w:rsid w:val="004A2756"/>
    <w:rsid w:val="004A43DB"/>
    <w:rsid w:val="004A49CD"/>
    <w:rsid w:val="004A4AED"/>
    <w:rsid w:val="004A58D1"/>
    <w:rsid w:val="004A5E88"/>
    <w:rsid w:val="004A65C0"/>
    <w:rsid w:val="004A6C11"/>
    <w:rsid w:val="004B1E66"/>
    <w:rsid w:val="004B4001"/>
    <w:rsid w:val="004B4B39"/>
    <w:rsid w:val="004B6EA9"/>
    <w:rsid w:val="004B735F"/>
    <w:rsid w:val="004B77FF"/>
    <w:rsid w:val="004C0F0C"/>
    <w:rsid w:val="004C1242"/>
    <w:rsid w:val="004C1C90"/>
    <w:rsid w:val="004C38D6"/>
    <w:rsid w:val="004C49FA"/>
    <w:rsid w:val="004C4C9B"/>
    <w:rsid w:val="004C715E"/>
    <w:rsid w:val="004C7652"/>
    <w:rsid w:val="004C7C47"/>
    <w:rsid w:val="004D0388"/>
    <w:rsid w:val="004D0478"/>
    <w:rsid w:val="004D0A93"/>
    <w:rsid w:val="004D1250"/>
    <w:rsid w:val="004D20F5"/>
    <w:rsid w:val="004D2EC3"/>
    <w:rsid w:val="004D34DD"/>
    <w:rsid w:val="004D382B"/>
    <w:rsid w:val="004D3B10"/>
    <w:rsid w:val="004D6E8F"/>
    <w:rsid w:val="004D73A7"/>
    <w:rsid w:val="004D7BA3"/>
    <w:rsid w:val="004E1AE2"/>
    <w:rsid w:val="004E3C6A"/>
    <w:rsid w:val="004E645B"/>
    <w:rsid w:val="004F1578"/>
    <w:rsid w:val="004F1976"/>
    <w:rsid w:val="004F3AC9"/>
    <w:rsid w:val="004F3E60"/>
    <w:rsid w:val="004F46F0"/>
    <w:rsid w:val="004F4F78"/>
    <w:rsid w:val="004F55EC"/>
    <w:rsid w:val="004F64C1"/>
    <w:rsid w:val="005011C3"/>
    <w:rsid w:val="005013A2"/>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5C6F"/>
    <w:rsid w:val="005266CB"/>
    <w:rsid w:val="0052696A"/>
    <w:rsid w:val="005278DA"/>
    <w:rsid w:val="00527FBD"/>
    <w:rsid w:val="005303CB"/>
    <w:rsid w:val="0053069A"/>
    <w:rsid w:val="005308B0"/>
    <w:rsid w:val="0053444E"/>
    <w:rsid w:val="00534CE2"/>
    <w:rsid w:val="00534DA6"/>
    <w:rsid w:val="0053510C"/>
    <w:rsid w:val="005362B4"/>
    <w:rsid w:val="0053633A"/>
    <w:rsid w:val="005369FC"/>
    <w:rsid w:val="00536A00"/>
    <w:rsid w:val="005400DC"/>
    <w:rsid w:val="00541B3A"/>
    <w:rsid w:val="00542CCA"/>
    <w:rsid w:val="0054309D"/>
    <w:rsid w:val="005436F3"/>
    <w:rsid w:val="00544451"/>
    <w:rsid w:val="005449D5"/>
    <w:rsid w:val="00544A6C"/>
    <w:rsid w:val="00551427"/>
    <w:rsid w:val="00551BC8"/>
    <w:rsid w:val="00551C0A"/>
    <w:rsid w:val="005532BD"/>
    <w:rsid w:val="00554430"/>
    <w:rsid w:val="00560551"/>
    <w:rsid w:val="00560C1D"/>
    <w:rsid w:val="00561FE9"/>
    <w:rsid w:val="00562804"/>
    <w:rsid w:val="00563C6D"/>
    <w:rsid w:val="00564F46"/>
    <w:rsid w:val="005659B2"/>
    <w:rsid w:val="00566CB6"/>
    <w:rsid w:val="00566F54"/>
    <w:rsid w:val="00567AAC"/>
    <w:rsid w:val="00570E1D"/>
    <w:rsid w:val="00572A2F"/>
    <w:rsid w:val="00572C28"/>
    <w:rsid w:val="00572D91"/>
    <w:rsid w:val="00574893"/>
    <w:rsid w:val="00574E13"/>
    <w:rsid w:val="00575E03"/>
    <w:rsid w:val="00576B9E"/>
    <w:rsid w:val="00577555"/>
    <w:rsid w:val="0057778D"/>
    <w:rsid w:val="005803F4"/>
    <w:rsid w:val="005803FA"/>
    <w:rsid w:val="0058110A"/>
    <w:rsid w:val="00583A5E"/>
    <w:rsid w:val="00590CD8"/>
    <w:rsid w:val="00593310"/>
    <w:rsid w:val="0059440A"/>
    <w:rsid w:val="00595C4D"/>
    <w:rsid w:val="00596453"/>
    <w:rsid w:val="00597498"/>
    <w:rsid w:val="0059767A"/>
    <w:rsid w:val="005A2E37"/>
    <w:rsid w:val="005A4D2A"/>
    <w:rsid w:val="005A6007"/>
    <w:rsid w:val="005A6752"/>
    <w:rsid w:val="005A6DE4"/>
    <w:rsid w:val="005A7236"/>
    <w:rsid w:val="005B08B3"/>
    <w:rsid w:val="005B0F07"/>
    <w:rsid w:val="005B16D7"/>
    <w:rsid w:val="005B1722"/>
    <w:rsid w:val="005B1BB5"/>
    <w:rsid w:val="005B2156"/>
    <w:rsid w:val="005B3AC2"/>
    <w:rsid w:val="005B3C3F"/>
    <w:rsid w:val="005B4027"/>
    <w:rsid w:val="005B62FA"/>
    <w:rsid w:val="005B6576"/>
    <w:rsid w:val="005C09F1"/>
    <w:rsid w:val="005C1CF3"/>
    <w:rsid w:val="005C37A8"/>
    <w:rsid w:val="005C3B0D"/>
    <w:rsid w:val="005C4B2D"/>
    <w:rsid w:val="005C5BC2"/>
    <w:rsid w:val="005C6C75"/>
    <w:rsid w:val="005C72E9"/>
    <w:rsid w:val="005C79F4"/>
    <w:rsid w:val="005C7A89"/>
    <w:rsid w:val="005D06E7"/>
    <w:rsid w:val="005D2F15"/>
    <w:rsid w:val="005D4D03"/>
    <w:rsid w:val="005D5292"/>
    <w:rsid w:val="005D5470"/>
    <w:rsid w:val="005D637B"/>
    <w:rsid w:val="005D6C7B"/>
    <w:rsid w:val="005E14F6"/>
    <w:rsid w:val="005E162C"/>
    <w:rsid w:val="005E26A1"/>
    <w:rsid w:val="005E2D33"/>
    <w:rsid w:val="005E494F"/>
    <w:rsid w:val="005E4DEC"/>
    <w:rsid w:val="005E5312"/>
    <w:rsid w:val="005E588E"/>
    <w:rsid w:val="005E5F0F"/>
    <w:rsid w:val="005F0E22"/>
    <w:rsid w:val="005F15EA"/>
    <w:rsid w:val="005F1604"/>
    <w:rsid w:val="005F24F4"/>
    <w:rsid w:val="005F2903"/>
    <w:rsid w:val="005F31D7"/>
    <w:rsid w:val="005F3AA3"/>
    <w:rsid w:val="005F4539"/>
    <w:rsid w:val="005F537F"/>
    <w:rsid w:val="005F7D07"/>
    <w:rsid w:val="0060020D"/>
    <w:rsid w:val="00602794"/>
    <w:rsid w:val="00604135"/>
    <w:rsid w:val="006058CB"/>
    <w:rsid w:val="0060733C"/>
    <w:rsid w:val="0061140B"/>
    <w:rsid w:val="00613453"/>
    <w:rsid w:val="00613EA8"/>
    <w:rsid w:val="0061470B"/>
    <w:rsid w:val="00616AE1"/>
    <w:rsid w:val="00617F6B"/>
    <w:rsid w:val="0062067C"/>
    <w:rsid w:val="00620B97"/>
    <w:rsid w:val="006214AD"/>
    <w:rsid w:val="006235C4"/>
    <w:rsid w:val="00625863"/>
    <w:rsid w:val="00625F67"/>
    <w:rsid w:val="006260E5"/>
    <w:rsid w:val="00627B69"/>
    <w:rsid w:val="006324F1"/>
    <w:rsid w:val="00632E9B"/>
    <w:rsid w:val="00633754"/>
    <w:rsid w:val="00635E85"/>
    <w:rsid w:val="006371FF"/>
    <w:rsid w:val="00643716"/>
    <w:rsid w:val="00644A75"/>
    <w:rsid w:val="006472A0"/>
    <w:rsid w:val="00651512"/>
    <w:rsid w:val="00653C4A"/>
    <w:rsid w:val="00653E20"/>
    <w:rsid w:val="00654956"/>
    <w:rsid w:val="00654DE7"/>
    <w:rsid w:val="0065533C"/>
    <w:rsid w:val="00656A9D"/>
    <w:rsid w:val="00656F5E"/>
    <w:rsid w:val="00662CBC"/>
    <w:rsid w:val="0066503F"/>
    <w:rsid w:val="00666AAB"/>
    <w:rsid w:val="0067038D"/>
    <w:rsid w:val="00671A6A"/>
    <w:rsid w:val="00673F0C"/>
    <w:rsid w:val="00673F58"/>
    <w:rsid w:val="00675DB3"/>
    <w:rsid w:val="00676A38"/>
    <w:rsid w:val="00680098"/>
    <w:rsid w:val="00680957"/>
    <w:rsid w:val="006827E9"/>
    <w:rsid w:val="00686325"/>
    <w:rsid w:val="00686EC4"/>
    <w:rsid w:val="00687063"/>
    <w:rsid w:val="00691425"/>
    <w:rsid w:val="00695E17"/>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25B"/>
    <w:rsid w:val="006B5516"/>
    <w:rsid w:val="006B5CD7"/>
    <w:rsid w:val="006B5D36"/>
    <w:rsid w:val="006B5E1C"/>
    <w:rsid w:val="006B6041"/>
    <w:rsid w:val="006B7A09"/>
    <w:rsid w:val="006C42CE"/>
    <w:rsid w:val="006C5486"/>
    <w:rsid w:val="006C592D"/>
    <w:rsid w:val="006C64CC"/>
    <w:rsid w:val="006C74B3"/>
    <w:rsid w:val="006D3791"/>
    <w:rsid w:val="006D465F"/>
    <w:rsid w:val="006D7021"/>
    <w:rsid w:val="006D7209"/>
    <w:rsid w:val="006E11C9"/>
    <w:rsid w:val="006E31AE"/>
    <w:rsid w:val="006E4984"/>
    <w:rsid w:val="006E5965"/>
    <w:rsid w:val="006E5E71"/>
    <w:rsid w:val="006E6031"/>
    <w:rsid w:val="006E61F6"/>
    <w:rsid w:val="006F12AB"/>
    <w:rsid w:val="006F32BF"/>
    <w:rsid w:val="006F3311"/>
    <w:rsid w:val="006F38F6"/>
    <w:rsid w:val="006F3989"/>
    <w:rsid w:val="006F4219"/>
    <w:rsid w:val="006F575A"/>
    <w:rsid w:val="00700360"/>
    <w:rsid w:val="00700A73"/>
    <w:rsid w:val="007015E9"/>
    <w:rsid w:val="00701999"/>
    <w:rsid w:val="00702050"/>
    <w:rsid w:val="00702A10"/>
    <w:rsid w:val="00703740"/>
    <w:rsid w:val="00704993"/>
    <w:rsid w:val="00704ED8"/>
    <w:rsid w:val="0070601C"/>
    <w:rsid w:val="00706B03"/>
    <w:rsid w:val="00707008"/>
    <w:rsid w:val="00710993"/>
    <w:rsid w:val="00712884"/>
    <w:rsid w:val="00713C6D"/>
    <w:rsid w:val="00714737"/>
    <w:rsid w:val="00715090"/>
    <w:rsid w:val="00715379"/>
    <w:rsid w:val="00715606"/>
    <w:rsid w:val="0071587A"/>
    <w:rsid w:val="007159EB"/>
    <w:rsid w:val="007160E0"/>
    <w:rsid w:val="00716E3F"/>
    <w:rsid w:val="00717DE7"/>
    <w:rsid w:val="00720629"/>
    <w:rsid w:val="00720B16"/>
    <w:rsid w:val="007219C5"/>
    <w:rsid w:val="007223FC"/>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095E"/>
    <w:rsid w:val="00761696"/>
    <w:rsid w:val="00761834"/>
    <w:rsid w:val="00761D56"/>
    <w:rsid w:val="007620D8"/>
    <w:rsid w:val="007631A8"/>
    <w:rsid w:val="0076420A"/>
    <w:rsid w:val="0076492F"/>
    <w:rsid w:val="00764D0F"/>
    <w:rsid w:val="00764ED5"/>
    <w:rsid w:val="007665AE"/>
    <w:rsid w:val="007665E7"/>
    <w:rsid w:val="0077225A"/>
    <w:rsid w:val="00773845"/>
    <w:rsid w:val="0077605D"/>
    <w:rsid w:val="007801FF"/>
    <w:rsid w:val="00780896"/>
    <w:rsid w:val="00780E48"/>
    <w:rsid w:val="00780FF2"/>
    <w:rsid w:val="007815A1"/>
    <w:rsid w:val="00783BF6"/>
    <w:rsid w:val="0078501F"/>
    <w:rsid w:val="00785229"/>
    <w:rsid w:val="0079186B"/>
    <w:rsid w:val="007919EE"/>
    <w:rsid w:val="007921AF"/>
    <w:rsid w:val="0079299C"/>
    <w:rsid w:val="00792F10"/>
    <w:rsid w:val="00793312"/>
    <w:rsid w:val="0079538F"/>
    <w:rsid w:val="00796A9E"/>
    <w:rsid w:val="00797087"/>
    <w:rsid w:val="00797687"/>
    <w:rsid w:val="007A0BE3"/>
    <w:rsid w:val="007A2552"/>
    <w:rsid w:val="007A25AF"/>
    <w:rsid w:val="007A30A5"/>
    <w:rsid w:val="007A3BAF"/>
    <w:rsid w:val="007A5FB9"/>
    <w:rsid w:val="007A70C6"/>
    <w:rsid w:val="007B11D0"/>
    <w:rsid w:val="007B1CB5"/>
    <w:rsid w:val="007B27E9"/>
    <w:rsid w:val="007B2987"/>
    <w:rsid w:val="007B6A8F"/>
    <w:rsid w:val="007B70D3"/>
    <w:rsid w:val="007C1116"/>
    <w:rsid w:val="007C2A1F"/>
    <w:rsid w:val="007C3AA6"/>
    <w:rsid w:val="007C4EF2"/>
    <w:rsid w:val="007C55D4"/>
    <w:rsid w:val="007C5AE8"/>
    <w:rsid w:val="007D093F"/>
    <w:rsid w:val="007D0BE8"/>
    <w:rsid w:val="007D1508"/>
    <w:rsid w:val="007D36CA"/>
    <w:rsid w:val="007D4C02"/>
    <w:rsid w:val="007D5920"/>
    <w:rsid w:val="007D6731"/>
    <w:rsid w:val="007D6837"/>
    <w:rsid w:val="007D7001"/>
    <w:rsid w:val="007D782F"/>
    <w:rsid w:val="007D7E87"/>
    <w:rsid w:val="007E1ECC"/>
    <w:rsid w:val="007E2A09"/>
    <w:rsid w:val="007E40DD"/>
    <w:rsid w:val="007E4D5F"/>
    <w:rsid w:val="007E7C73"/>
    <w:rsid w:val="007F0225"/>
    <w:rsid w:val="007F0AC8"/>
    <w:rsid w:val="007F10CE"/>
    <w:rsid w:val="007F167C"/>
    <w:rsid w:val="007F2066"/>
    <w:rsid w:val="007F2B93"/>
    <w:rsid w:val="007F3367"/>
    <w:rsid w:val="007F4005"/>
    <w:rsid w:val="007F4093"/>
    <w:rsid w:val="007F64E9"/>
    <w:rsid w:val="007F7EFE"/>
    <w:rsid w:val="0080100B"/>
    <w:rsid w:val="00802421"/>
    <w:rsid w:val="00802684"/>
    <w:rsid w:val="00804380"/>
    <w:rsid w:val="00804490"/>
    <w:rsid w:val="008049F3"/>
    <w:rsid w:val="00806B2A"/>
    <w:rsid w:val="00810DA4"/>
    <w:rsid w:val="0081266C"/>
    <w:rsid w:val="00812D6B"/>
    <w:rsid w:val="00813597"/>
    <w:rsid w:val="00814A29"/>
    <w:rsid w:val="008259B8"/>
    <w:rsid w:val="00825ADA"/>
    <w:rsid w:val="00825DEA"/>
    <w:rsid w:val="008279A8"/>
    <w:rsid w:val="00827BE0"/>
    <w:rsid w:val="00827E59"/>
    <w:rsid w:val="00830547"/>
    <w:rsid w:val="0083160C"/>
    <w:rsid w:val="0083338A"/>
    <w:rsid w:val="00833923"/>
    <w:rsid w:val="00834CDA"/>
    <w:rsid w:val="008362EF"/>
    <w:rsid w:val="008367C0"/>
    <w:rsid w:val="00840F68"/>
    <w:rsid w:val="0084256B"/>
    <w:rsid w:val="00843EBB"/>
    <w:rsid w:val="008443EB"/>
    <w:rsid w:val="00844E1C"/>
    <w:rsid w:val="00847799"/>
    <w:rsid w:val="00850104"/>
    <w:rsid w:val="00855674"/>
    <w:rsid w:val="00861E88"/>
    <w:rsid w:val="0086291A"/>
    <w:rsid w:val="00862D4F"/>
    <w:rsid w:val="00865ACD"/>
    <w:rsid w:val="0087024A"/>
    <w:rsid w:val="00871456"/>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62BD"/>
    <w:rsid w:val="00890ECE"/>
    <w:rsid w:val="008917E7"/>
    <w:rsid w:val="008962E9"/>
    <w:rsid w:val="0089653C"/>
    <w:rsid w:val="008A0DE6"/>
    <w:rsid w:val="008A1FF5"/>
    <w:rsid w:val="008A233D"/>
    <w:rsid w:val="008A237E"/>
    <w:rsid w:val="008A447D"/>
    <w:rsid w:val="008A4AF5"/>
    <w:rsid w:val="008A5776"/>
    <w:rsid w:val="008A5E5B"/>
    <w:rsid w:val="008A62A5"/>
    <w:rsid w:val="008A7E2E"/>
    <w:rsid w:val="008B18AE"/>
    <w:rsid w:val="008B3124"/>
    <w:rsid w:val="008B6744"/>
    <w:rsid w:val="008B72A5"/>
    <w:rsid w:val="008B7762"/>
    <w:rsid w:val="008C03E2"/>
    <w:rsid w:val="008C0421"/>
    <w:rsid w:val="008C1918"/>
    <w:rsid w:val="008C1A51"/>
    <w:rsid w:val="008C2175"/>
    <w:rsid w:val="008C2A4A"/>
    <w:rsid w:val="008C2F29"/>
    <w:rsid w:val="008C4AD0"/>
    <w:rsid w:val="008C50D3"/>
    <w:rsid w:val="008C5E4E"/>
    <w:rsid w:val="008C5F9A"/>
    <w:rsid w:val="008C6B30"/>
    <w:rsid w:val="008D3033"/>
    <w:rsid w:val="008D493B"/>
    <w:rsid w:val="008D4A7C"/>
    <w:rsid w:val="008D51DA"/>
    <w:rsid w:val="008D53A9"/>
    <w:rsid w:val="008D5615"/>
    <w:rsid w:val="008D5F0D"/>
    <w:rsid w:val="008D6350"/>
    <w:rsid w:val="008D683A"/>
    <w:rsid w:val="008D7046"/>
    <w:rsid w:val="008E0359"/>
    <w:rsid w:val="008E0805"/>
    <w:rsid w:val="008E0FFB"/>
    <w:rsid w:val="008E11F0"/>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8B1"/>
    <w:rsid w:val="009014E6"/>
    <w:rsid w:val="00902015"/>
    <w:rsid w:val="00903531"/>
    <w:rsid w:val="00904A65"/>
    <w:rsid w:val="00905793"/>
    <w:rsid w:val="00907263"/>
    <w:rsid w:val="0090768C"/>
    <w:rsid w:val="009123F6"/>
    <w:rsid w:val="00913E2A"/>
    <w:rsid w:val="0091468D"/>
    <w:rsid w:val="0091475E"/>
    <w:rsid w:val="00916155"/>
    <w:rsid w:val="009163B6"/>
    <w:rsid w:val="00916B61"/>
    <w:rsid w:val="009176AA"/>
    <w:rsid w:val="00917ED2"/>
    <w:rsid w:val="00917F42"/>
    <w:rsid w:val="009217A9"/>
    <w:rsid w:val="00922F1E"/>
    <w:rsid w:val="00922F29"/>
    <w:rsid w:val="009231E6"/>
    <w:rsid w:val="00924558"/>
    <w:rsid w:val="00924ED9"/>
    <w:rsid w:val="009274FA"/>
    <w:rsid w:val="0093042C"/>
    <w:rsid w:val="00930453"/>
    <w:rsid w:val="00931316"/>
    <w:rsid w:val="00933086"/>
    <w:rsid w:val="00934A0F"/>
    <w:rsid w:val="00936291"/>
    <w:rsid w:val="00937ED6"/>
    <w:rsid w:val="009406E7"/>
    <w:rsid w:val="00940B04"/>
    <w:rsid w:val="00943948"/>
    <w:rsid w:val="00944AB3"/>
    <w:rsid w:val="00946893"/>
    <w:rsid w:val="00950141"/>
    <w:rsid w:val="00950840"/>
    <w:rsid w:val="00950BCE"/>
    <w:rsid w:val="00950FC7"/>
    <w:rsid w:val="00953FB3"/>
    <w:rsid w:val="0095455D"/>
    <w:rsid w:val="0095482D"/>
    <w:rsid w:val="009563AA"/>
    <w:rsid w:val="0095738C"/>
    <w:rsid w:val="00957540"/>
    <w:rsid w:val="0096073E"/>
    <w:rsid w:val="009623A4"/>
    <w:rsid w:val="00964C1A"/>
    <w:rsid w:val="0096515A"/>
    <w:rsid w:val="00965C79"/>
    <w:rsid w:val="00966601"/>
    <w:rsid w:val="00967094"/>
    <w:rsid w:val="00970079"/>
    <w:rsid w:val="009700A9"/>
    <w:rsid w:val="00970A79"/>
    <w:rsid w:val="00973C9C"/>
    <w:rsid w:val="009752BD"/>
    <w:rsid w:val="009758CF"/>
    <w:rsid w:val="009843CA"/>
    <w:rsid w:val="0098672A"/>
    <w:rsid w:val="009875D0"/>
    <w:rsid w:val="00990141"/>
    <w:rsid w:val="00990D6F"/>
    <w:rsid w:val="009914D7"/>
    <w:rsid w:val="0099157D"/>
    <w:rsid w:val="0099378B"/>
    <w:rsid w:val="00993A67"/>
    <w:rsid w:val="00994D7F"/>
    <w:rsid w:val="009961D5"/>
    <w:rsid w:val="009962A0"/>
    <w:rsid w:val="0099644E"/>
    <w:rsid w:val="00996F8C"/>
    <w:rsid w:val="009A0627"/>
    <w:rsid w:val="009A0F1B"/>
    <w:rsid w:val="009A2476"/>
    <w:rsid w:val="009A44CB"/>
    <w:rsid w:val="009A454D"/>
    <w:rsid w:val="009A472B"/>
    <w:rsid w:val="009A5C14"/>
    <w:rsid w:val="009A7763"/>
    <w:rsid w:val="009A7B95"/>
    <w:rsid w:val="009B05E8"/>
    <w:rsid w:val="009B05F1"/>
    <w:rsid w:val="009B126C"/>
    <w:rsid w:val="009B2CF2"/>
    <w:rsid w:val="009B30DC"/>
    <w:rsid w:val="009B45E7"/>
    <w:rsid w:val="009B493A"/>
    <w:rsid w:val="009B4DE3"/>
    <w:rsid w:val="009B6612"/>
    <w:rsid w:val="009B6A55"/>
    <w:rsid w:val="009C1218"/>
    <w:rsid w:val="009C158C"/>
    <w:rsid w:val="009C196E"/>
    <w:rsid w:val="009C3B52"/>
    <w:rsid w:val="009C4A6F"/>
    <w:rsid w:val="009C6025"/>
    <w:rsid w:val="009C791B"/>
    <w:rsid w:val="009D18A0"/>
    <w:rsid w:val="009D1BEE"/>
    <w:rsid w:val="009D1EF0"/>
    <w:rsid w:val="009D2082"/>
    <w:rsid w:val="009D3E39"/>
    <w:rsid w:val="009D478F"/>
    <w:rsid w:val="009D479C"/>
    <w:rsid w:val="009D5125"/>
    <w:rsid w:val="009D5ED6"/>
    <w:rsid w:val="009D69A8"/>
    <w:rsid w:val="009D705F"/>
    <w:rsid w:val="009D73BF"/>
    <w:rsid w:val="009D7BE9"/>
    <w:rsid w:val="009D7BFB"/>
    <w:rsid w:val="009D7E79"/>
    <w:rsid w:val="009E1143"/>
    <w:rsid w:val="009E2925"/>
    <w:rsid w:val="009E3549"/>
    <w:rsid w:val="009E409E"/>
    <w:rsid w:val="009E40C2"/>
    <w:rsid w:val="009E4353"/>
    <w:rsid w:val="009E63C4"/>
    <w:rsid w:val="009E7131"/>
    <w:rsid w:val="009F0065"/>
    <w:rsid w:val="009F0651"/>
    <w:rsid w:val="009F0908"/>
    <w:rsid w:val="009F0C6B"/>
    <w:rsid w:val="009F1BCB"/>
    <w:rsid w:val="009F1C05"/>
    <w:rsid w:val="009F2488"/>
    <w:rsid w:val="009F421F"/>
    <w:rsid w:val="009F62DB"/>
    <w:rsid w:val="009F6E81"/>
    <w:rsid w:val="009F7321"/>
    <w:rsid w:val="00A00194"/>
    <w:rsid w:val="00A02556"/>
    <w:rsid w:val="00A02BF2"/>
    <w:rsid w:val="00A031F9"/>
    <w:rsid w:val="00A05A0B"/>
    <w:rsid w:val="00A05E0C"/>
    <w:rsid w:val="00A11542"/>
    <w:rsid w:val="00A12FE6"/>
    <w:rsid w:val="00A14944"/>
    <w:rsid w:val="00A2017E"/>
    <w:rsid w:val="00A2337E"/>
    <w:rsid w:val="00A24A28"/>
    <w:rsid w:val="00A24FA6"/>
    <w:rsid w:val="00A2547A"/>
    <w:rsid w:val="00A261BA"/>
    <w:rsid w:val="00A3030B"/>
    <w:rsid w:val="00A32DAE"/>
    <w:rsid w:val="00A335D5"/>
    <w:rsid w:val="00A33C0F"/>
    <w:rsid w:val="00A3639E"/>
    <w:rsid w:val="00A3659C"/>
    <w:rsid w:val="00A40328"/>
    <w:rsid w:val="00A403A8"/>
    <w:rsid w:val="00A404B2"/>
    <w:rsid w:val="00A41901"/>
    <w:rsid w:val="00A428F3"/>
    <w:rsid w:val="00A446D4"/>
    <w:rsid w:val="00A4582E"/>
    <w:rsid w:val="00A461F2"/>
    <w:rsid w:val="00A466C5"/>
    <w:rsid w:val="00A472C5"/>
    <w:rsid w:val="00A50CD1"/>
    <w:rsid w:val="00A52008"/>
    <w:rsid w:val="00A528CC"/>
    <w:rsid w:val="00A52EF0"/>
    <w:rsid w:val="00A53CE6"/>
    <w:rsid w:val="00A5472F"/>
    <w:rsid w:val="00A54C4F"/>
    <w:rsid w:val="00A54C94"/>
    <w:rsid w:val="00A560DE"/>
    <w:rsid w:val="00A56F02"/>
    <w:rsid w:val="00A57FD5"/>
    <w:rsid w:val="00A615FC"/>
    <w:rsid w:val="00A62028"/>
    <w:rsid w:val="00A6320B"/>
    <w:rsid w:val="00A63FA3"/>
    <w:rsid w:val="00A643BD"/>
    <w:rsid w:val="00A64491"/>
    <w:rsid w:val="00A666EB"/>
    <w:rsid w:val="00A66DA4"/>
    <w:rsid w:val="00A72E8D"/>
    <w:rsid w:val="00A7441C"/>
    <w:rsid w:val="00A75036"/>
    <w:rsid w:val="00A7606A"/>
    <w:rsid w:val="00A7702A"/>
    <w:rsid w:val="00A80332"/>
    <w:rsid w:val="00A80D18"/>
    <w:rsid w:val="00A84413"/>
    <w:rsid w:val="00A85069"/>
    <w:rsid w:val="00A851D3"/>
    <w:rsid w:val="00A85C99"/>
    <w:rsid w:val="00A86059"/>
    <w:rsid w:val="00A860CA"/>
    <w:rsid w:val="00A8682A"/>
    <w:rsid w:val="00A877EA"/>
    <w:rsid w:val="00A90434"/>
    <w:rsid w:val="00A90848"/>
    <w:rsid w:val="00A90C30"/>
    <w:rsid w:val="00A90D5D"/>
    <w:rsid w:val="00A919A8"/>
    <w:rsid w:val="00A95E04"/>
    <w:rsid w:val="00A95F18"/>
    <w:rsid w:val="00A9702D"/>
    <w:rsid w:val="00A97794"/>
    <w:rsid w:val="00AA09CE"/>
    <w:rsid w:val="00AA109A"/>
    <w:rsid w:val="00AA184D"/>
    <w:rsid w:val="00AA1AC6"/>
    <w:rsid w:val="00AA3ADF"/>
    <w:rsid w:val="00AA4945"/>
    <w:rsid w:val="00AA4AE4"/>
    <w:rsid w:val="00AA4F18"/>
    <w:rsid w:val="00AA7490"/>
    <w:rsid w:val="00AA7EB9"/>
    <w:rsid w:val="00AB0321"/>
    <w:rsid w:val="00AB21EA"/>
    <w:rsid w:val="00AB22C2"/>
    <w:rsid w:val="00AB29DA"/>
    <w:rsid w:val="00AB2D5C"/>
    <w:rsid w:val="00AB51C0"/>
    <w:rsid w:val="00AB538D"/>
    <w:rsid w:val="00AB70F7"/>
    <w:rsid w:val="00AC0AB2"/>
    <w:rsid w:val="00AC12F5"/>
    <w:rsid w:val="00AC340E"/>
    <w:rsid w:val="00AC37A1"/>
    <w:rsid w:val="00AC4A67"/>
    <w:rsid w:val="00AC5006"/>
    <w:rsid w:val="00AC56CE"/>
    <w:rsid w:val="00AC59CF"/>
    <w:rsid w:val="00AC604F"/>
    <w:rsid w:val="00AC71B2"/>
    <w:rsid w:val="00AD0495"/>
    <w:rsid w:val="00AD2F15"/>
    <w:rsid w:val="00AD4224"/>
    <w:rsid w:val="00AD4E75"/>
    <w:rsid w:val="00AD6DC7"/>
    <w:rsid w:val="00AD74C8"/>
    <w:rsid w:val="00AE1909"/>
    <w:rsid w:val="00AE3181"/>
    <w:rsid w:val="00AE357C"/>
    <w:rsid w:val="00AE7EDF"/>
    <w:rsid w:val="00AF07F9"/>
    <w:rsid w:val="00AF165B"/>
    <w:rsid w:val="00AF3257"/>
    <w:rsid w:val="00AF3833"/>
    <w:rsid w:val="00AF3D16"/>
    <w:rsid w:val="00AF4186"/>
    <w:rsid w:val="00B01969"/>
    <w:rsid w:val="00B04BED"/>
    <w:rsid w:val="00B06368"/>
    <w:rsid w:val="00B0750E"/>
    <w:rsid w:val="00B1038C"/>
    <w:rsid w:val="00B10470"/>
    <w:rsid w:val="00B10AEC"/>
    <w:rsid w:val="00B11217"/>
    <w:rsid w:val="00B12515"/>
    <w:rsid w:val="00B16963"/>
    <w:rsid w:val="00B16BAA"/>
    <w:rsid w:val="00B2044E"/>
    <w:rsid w:val="00B21902"/>
    <w:rsid w:val="00B234B3"/>
    <w:rsid w:val="00B24E70"/>
    <w:rsid w:val="00B24FA2"/>
    <w:rsid w:val="00B250F3"/>
    <w:rsid w:val="00B30BB7"/>
    <w:rsid w:val="00B320FF"/>
    <w:rsid w:val="00B32B9E"/>
    <w:rsid w:val="00B32FB1"/>
    <w:rsid w:val="00B35AFE"/>
    <w:rsid w:val="00B372E0"/>
    <w:rsid w:val="00B40329"/>
    <w:rsid w:val="00B40B8D"/>
    <w:rsid w:val="00B4103B"/>
    <w:rsid w:val="00B41973"/>
    <w:rsid w:val="00B432A2"/>
    <w:rsid w:val="00B45440"/>
    <w:rsid w:val="00B53286"/>
    <w:rsid w:val="00B5466A"/>
    <w:rsid w:val="00B546E5"/>
    <w:rsid w:val="00B54E07"/>
    <w:rsid w:val="00B565C8"/>
    <w:rsid w:val="00B57F78"/>
    <w:rsid w:val="00B62F9E"/>
    <w:rsid w:val="00B67ED0"/>
    <w:rsid w:val="00B70E53"/>
    <w:rsid w:val="00B71451"/>
    <w:rsid w:val="00B74278"/>
    <w:rsid w:val="00B74705"/>
    <w:rsid w:val="00B74730"/>
    <w:rsid w:val="00B75149"/>
    <w:rsid w:val="00B75C22"/>
    <w:rsid w:val="00B803D6"/>
    <w:rsid w:val="00B83257"/>
    <w:rsid w:val="00B86742"/>
    <w:rsid w:val="00B903E3"/>
    <w:rsid w:val="00B90D14"/>
    <w:rsid w:val="00B911C2"/>
    <w:rsid w:val="00B91DF8"/>
    <w:rsid w:val="00B92807"/>
    <w:rsid w:val="00B92C72"/>
    <w:rsid w:val="00B93396"/>
    <w:rsid w:val="00B94B20"/>
    <w:rsid w:val="00B95300"/>
    <w:rsid w:val="00B9543E"/>
    <w:rsid w:val="00B9594C"/>
    <w:rsid w:val="00B96F03"/>
    <w:rsid w:val="00B9734C"/>
    <w:rsid w:val="00BA0B05"/>
    <w:rsid w:val="00BA1C6F"/>
    <w:rsid w:val="00BA314C"/>
    <w:rsid w:val="00BA4235"/>
    <w:rsid w:val="00BA6C1F"/>
    <w:rsid w:val="00BB1AF9"/>
    <w:rsid w:val="00BB1E94"/>
    <w:rsid w:val="00BB57F4"/>
    <w:rsid w:val="00BB64DA"/>
    <w:rsid w:val="00BB7712"/>
    <w:rsid w:val="00BC177D"/>
    <w:rsid w:val="00BC1A41"/>
    <w:rsid w:val="00BC2114"/>
    <w:rsid w:val="00BC2908"/>
    <w:rsid w:val="00BC3A36"/>
    <w:rsid w:val="00BC3FC3"/>
    <w:rsid w:val="00BC5224"/>
    <w:rsid w:val="00BC6BAB"/>
    <w:rsid w:val="00BC6FDF"/>
    <w:rsid w:val="00BC7AE4"/>
    <w:rsid w:val="00BC7D79"/>
    <w:rsid w:val="00BD02DD"/>
    <w:rsid w:val="00BD09E2"/>
    <w:rsid w:val="00BD2E62"/>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C02978"/>
    <w:rsid w:val="00C034A9"/>
    <w:rsid w:val="00C03859"/>
    <w:rsid w:val="00C05E01"/>
    <w:rsid w:val="00C05E42"/>
    <w:rsid w:val="00C063F1"/>
    <w:rsid w:val="00C078BD"/>
    <w:rsid w:val="00C11A47"/>
    <w:rsid w:val="00C12098"/>
    <w:rsid w:val="00C13805"/>
    <w:rsid w:val="00C15CA6"/>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334F"/>
    <w:rsid w:val="00C4434A"/>
    <w:rsid w:val="00C44974"/>
    <w:rsid w:val="00C44E9E"/>
    <w:rsid w:val="00C45A93"/>
    <w:rsid w:val="00C46098"/>
    <w:rsid w:val="00C46439"/>
    <w:rsid w:val="00C465CE"/>
    <w:rsid w:val="00C46B32"/>
    <w:rsid w:val="00C47A26"/>
    <w:rsid w:val="00C50E1F"/>
    <w:rsid w:val="00C516EC"/>
    <w:rsid w:val="00C53DC9"/>
    <w:rsid w:val="00C54A6D"/>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5422"/>
    <w:rsid w:val="00C9070B"/>
    <w:rsid w:val="00C94791"/>
    <w:rsid w:val="00C95057"/>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466"/>
    <w:rsid w:val="00CD3BBB"/>
    <w:rsid w:val="00CD3C54"/>
    <w:rsid w:val="00CD3E3E"/>
    <w:rsid w:val="00CD7F31"/>
    <w:rsid w:val="00CE1A96"/>
    <w:rsid w:val="00CE21A4"/>
    <w:rsid w:val="00CE3521"/>
    <w:rsid w:val="00CE3A2A"/>
    <w:rsid w:val="00CE4B97"/>
    <w:rsid w:val="00CE5723"/>
    <w:rsid w:val="00CF1168"/>
    <w:rsid w:val="00CF1C88"/>
    <w:rsid w:val="00CF3034"/>
    <w:rsid w:val="00CF3FC7"/>
    <w:rsid w:val="00CF5493"/>
    <w:rsid w:val="00CF5603"/>
    <w:rsid w:val="00CF67D8"/>
    <w:rsid w:val="00CF694E"/>
    <w:rsid w:val="00CF6BF4"/>
    <w:rsid w:val="00CF7DE9"/>
    <w:rsid w:val="00D01398"/>
    <w:rsid w:val="00D0189D"/>
    <w:rsid w:val="00D02254"/>
    <w:rsid w:val="00D02427"/>
    <w:rsid w:val="00D028DF"/>
    <w:rsid w:val="00D0403A"/>
    <w:rsid w:val="00D04528"/>
    <w:rsid w:val="00D050BA"/>
    <w:rsid w:val="00D05E32"/>
    <w:rsid w:val="00D06FC6"/>
    <w:rsid w:val="00D11CE7"/>
    <w:rsid w:val="00D12281"/>
    <w:rsid w:val="00D14D03"/>
    <w:rsid w:val="00D176D6"/>
    <w:rsid w:val="00D20267"/>
    <w:rsid w:val="00D21F17"/>
    <w:rsid w:val="00D225A9"/>
    <w:rsid w:val="00D2553F"/>
    <w:rsid w:val="00D2772F"/>
    <w:rsid w:val="00D3079F"/>
    <w:rsid w:val="00D30C5E"/>
    <w:rsid w:val="00D3100A"/>
    <w:rsid w:val="00D312EB"/>
    <w:rsid w:val="00D3348F"/>
    <w:rsid w:val="00D3413F"/>
    <w:rsid w:val="00D3458D"/>
    <w:rsid w:val="00D3483B"/>
    <w:rsid w:val="00D3497A"/>
    <w:rsid w:val="00D373B0"/>
    <w:rsid w:val="00D4142C"/>
    <w:rsid w:val="00D4229B"/>
    <w:rsid w:val="00D44CE0"/>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605E5"/>
    <w:rsid w:val="00D6268B"/>
    <w:rsid w:val="00D62A8B"/>
    <w:rsid w:val="00D66F6A"/>
    <w:rsid w:val="00D7104B"/>
    <w:rsid w:val="00D71595"/>
    <w:rsid w:val="00D71B33"/>
    <w:rsid w:val="00D740F4"/>
    <w:rsid w:val="00D802FD"/>
    <w:rsid w:val="00D814B5"/>
    <w:rsid w:val="00D869C5"/>
    <w:rsid w:val="00D87EE8"/>
    <w:rsid w:val="00D92BE8"/>
    <w:rsid w:val="00D932E1"/>
    <w:rsid w:val="00D937A6"/>
    <w:rsid w:val="00D94A5A"/>
    <w:rsid w:val="00D95258"/>
    <w:rsid w:val="00D9626A"/>
    <w:rsid w:val="00D96291"/>
    <w:rsid w:val="00DA0427"/>
    <w:rsid w:val="00DA05B7"/>
    <w:rsid w:val="00DA179F"/>
    <w:rsid w:val="00DA1B0F"/>
    <w:rsid w:val="00DA1E39"/>
    <w:rsid w:val="00DA2171"/>
    <w:rsid w:val="00DA266F"/>
    <w:rsid w:val="00DA2928"/>
    <w:rsid w:val="00DA3AE2"/>
    <w:rsid w:val="00DA3B33"/>
    <w:rsid w:val="00DA42A3"/>
    <w:rsid w:val="00DA5B4D"/>
    <w:rsid w:val="00DA7075"/>
    <w:rsid w:val="00DA74A2"/>
    <w:rsid w:val="00DB0BBC"/>
    <w:rsid w:val="00DB191E"/>
    <w:rsid w:val="00DB6664"/>
    <w:rsid w:val="00DB73FB"/>
    <w:rsid w:val="00DB7CD4"/>
    <w:rsid w:val="00DC0DBE"/>
    <w:rsid w:val="00DC1027"/>
    <w:rsid w:val="00DC429D"/>
    <w:rsid w:val="00DC497E"/>
    <w:rsid w:val="00DC66A6"/>
    <w:rsid w:val="00DC6E17"/>
    <w:rsid w:val="00DC6F8F"/>
    <w:rsid w:val="00DC7C69"/>
    <w:rsid w:val="00DD26B7"/>
    <w:rsid w:val="00DD27D4"/>
    <w:rsid w:val="00DD35D4"/>
    <w:rsid w:val="00DD4DCA"/>
    <w:rsid w:val="00DD5CCB"/>
    <w:rsid w:val="00DD6003"/>
    <w:rsid w:val="00DD6E80"/>
    <w:rsid w:val="00DD7B1D"/>
    <w:rsid w:val="00DE1A4C"/>
    <w:rsid w:val="00DE285A"/>
    <w:rsid w:val="00DE2F3F"/>
    <w:rsid w:val="00DE3645"/>
    <w:rsid w:val="00DE3973"/>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744B"/>
    <w:rsid w:val="00E07667"/>
    <w:rsid w:val="00E07D23"/>
    <w:rsid w:val="00E07E8B"/>
    <w:rsid w:val="00E10861"/>
    <w:rsid w:val="00E120BC"/>
    <w:rsid w:val="00E1258C"/>
    <w:rsid w:val="00E1376C"/>
    <w:rsid w:val="00E15635"/>
    <w:rsid w:val="00E16BEE"/>
    <w:rsid w:val="00E2103E"/>
    <w:rsid w:val="00E21B02"/>
    <w:rsid w:val="00E23869"/>
    <w:rsid w:val="00E26156"/>
    <w:rsid w:val="00E27323"/>
    <w:rsid w:val="00E27FA3"/>
    <w:rsid w:val="00E302DF"/>
    <w:rsid w:val="00E3099D"/>
    <w:rsid w:val="00E333FB"/>
    <w:rsid w:val="00E3345C"/>
    <w:rsid w:val="00E35515"/>
    <w:rsid w:val="00E36F7B"/>
    <w:rsid w:val="00E40778"/>
    <w:rsid w:val="00E40F77"/>
    <w:rsid w:val="00E41FE9"/>
    <w:rsid w:val="00E4501A"/>
    <w:rsid w:val="00E4586E"/>
    <w:rsid w:val="00E46187"/>
    <w:rsid w:val="00E46BFA"/>
    <w:rsid w:val="00E477BE"/>
    <w:rsid w:val="00E47B62"/>
    <w:rsid w:val="00E513F5"/>
    <w:rsid w:val="00E51517"/>
    <w:rsid w:val="00E51AFF"/>
    <w:rsid w:val="00E51F74"/>
    <w:rsid w:val="00E54533"/>
    <w:rsid w:val="00E55868"/>
    <w:rsid w:val="00E55FE6"/>
    <w:rsid w:val="00E5628F"/>
    <w:rsid w:val="00E60C14"/>
    <w:rsid w:val="00E61815"/>
    <w:rsid w:val="00E620C7"/>
    <w:rsid w:val="00E653B8"/>
    <w:rsid w:val="00E65D86"/>
    <w:rsid w:val="00E66967"/>
    <w:rsid w:val="00E67E1C"/>
    <w:rsid w:val="00E704A7"/>
    <w:rsid w:val="00E70E2A"/>
    <w:rsid w:val="00E72C1A"/>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EEF"/>
    <w:rsid w:val="00E96340"/>
    <w:rsid w:val="00EA1BF3"/>
    <w:rsid w:val="00EA38D5"/>
    <w:rsid w:val="00EA4363"/>
    <w:rsid w:val="00EA5409"/>
    <w:rsid w:val="00EA5F10"/>
    <w:rsid w:val="00EA5F30"/>
    <w:rsid w:val="00EA6F59"/>
    <w:rsid w:val="00EA789A"/>
    <w:rsid w:val="00EB0F10"/>
    <w:rsid w:val="00EB219C"/>
    <w:rsid w:val="00EB321E"/>
    <w:rsid w:val="00EB5B76"/>
    <w:rsid w:val="00EB6374"/>
    <w:rsid w:val="00EB64FC"/>
    <w:rsid w:val="00EB7B3E"/>
    <w:rsid w:val="00EC0FC7"/>
    <w:rsid w:val="00EC3466"/>
    <w:rsid w:val="00EC37C6"/>
    <w:rsid w:val="00EC3CEA"/>
    <w:rsid w:val="00EC744B"/>
    <w:rsid w:val="00EC778D"/>
    <w:rsid w:val="00EC7B5A"/>
    <w:rsid w:val="00ED1165"/>
    <w:rsid w:val="00ED1573"/>
    <w:rsid w:val="00ED1966"/>
    <w:rsid w:val="00ED419B"/>
    <w:rsid w:val="00ED4DA5"/>
    <w:rsid w:val="00ED5501"/>
    <w:rsid w:val="00ED5AF3"/>
    <w:rsid w:val="00ED6E55"/>
    <w:rsid w:val="00ED7419"/>
    <w:rsid w:val="00EE050F"/>
    <w:rsid w:val="00EE081A"/>
    <w:rsid w:val="00EE1131"/>
    <w:rsid w:val="00EE1EB5"/>
    <w:rsid w:val="00EE243B"/>
    <w:rsid w:val="00EE24E3"/>
    <w:rsid w:val="00EE3398"/>
    <w:rsid w:val="00EE60DB"/>
    <w:rsid w:val="00EE6827"/>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587"/>
    <w:rsid w:val="00F16387"/>
    <w:rsid w:val="00F203C7"/>
    <w:rsid w:val="00F210E0"/>
    <w:rsid w:val="00F21646"/>
    <w:rsid w:val="00F21917"/>
    <w:rsid w:val="00F221DD"/>
    <w:rsid w:val="00F231E0"/>
    <w:rsid w:val="00F24C5D"/>
    <w:rsid w:val="00F27A4B"/>
    <w:rsid w:val="00F27BB1"/>
    <w:rsid w:val="00F32B0E"/>
    <w:rsid w:val="00F33DC4"/>
    <w:rsid w:val="00F356DB"/>
    <w:rsid w:val="00F35946"/>
    <w:rsid w:val="00F359C0"/>
    <w:rsid w:val="00F37DBE"/>
    <w:rsid w:val="00F401F9"/>
    <w:rsid w:val="00F425CB"/>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BC8"/>
    <w:rsid w:val="00F6631F"/>
    <w:rsid w:val="00F704D7"/>
    <w:rsid w:val="00F70E60"/>
    <w:rsid w:val="00F72112"/>
    <w:rsid w:val="00F723D6"/>
    <w:rsid w:val="00F724AB"/>
    <w:rsid w:val="00F739B6"/>
    <w:rsid w:val="00F75E3A"/>
    <w:rsid w:val="00F77E87"/>
    <w:rsid w:val="00F806A9"/>
    <w:rsid w:val="00F81620"/>
    <w:rsid w:val="00F81EA3"/>
    <w:rsid w:val="00F8217F"/>
    <w:rsid w:val="00F83113"/>
    <w:rsid w:val="00F83C22"/>
    <w:rsid w:val="00F84521"/>
    <w:rsid w:val="00F84E7C"/>
    <w:rsid w:val="00F8510F"/>
    <w:rsid w:val="00F87451"/>
    <w:rsid w:val="00F906AB"/>
    <w:rsid w:val="00F91766"/>
    <w:rsid w:val="00F91A6E"/>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4C72"/>
    <w:rsid w:val="00FB6B51"/>
    <w:rsid w:val="00FC2786"/>
    <w:rsid w:val="00FC2B4C"/>
    <w:rsid w:val="00FC36CB"/>
    <w:rsid w:val="00FC3779"/>
    <w:rsid w:val="00FC400D"/>
    <w:rsid w:val="00FC58AA"/>
    <w:rsid w:val="00FC7979"/>
    <w:rsid w:val="00FC7CE2"/>
    <w:rsid w:val="00FD1134"/>
    <w:rsid w:val="00FD1489"/>
    <w:rsid w:val="00FD15A5"/>
    <w:rsid w:val="00FD2169"/>
    <w:rsid w:val="00FD24D9"/>
    <w:rsid w:val="00FD2B4A"/>
    <w:rsid w:val="00FD43CA"/>
    <w:rsid w:val="00FD7C6C"/>
    <w:rsid w:val="00FE0BA9"/>
    <w:rsid w:val="00FE13C6"/>
    <w:rsid w:val="00FE23C6"/>
    <w:rsid w:val="00FE2E5D"/>
    <w:rsid w:val="00FE375B"/>
    <w:rsid w:val="00FE54A8"/>
    <w:rsid w:val="00FE6741"/>
    <w:rsid w:val="00FE6B1A"/>
    <w:rsid w:val="00FF06F9"/>
    <w:rsid w:val="00FF0FB4"/>
    <w:rsid w:val="00FF12B9"/>
    <w:rsid w:val="00FF1A88"/>
    <w:rsid w:val="00FF2B2A"/>
    <w:rsid w:val="00FF2B97"/>
    <w:rsid w:val="00FF3C86"/>
    <w:rsid w:val="00FF4BB6"/>
    <w:rsid w:val="00FF4EE6"/>
    <w:rsid w:val="00FF683E"/>
    <w:rsid w:val="01795772"/>
    <w:rsid w:val="01A408F9"/>
    <w:rsid w:val="01E12CA9"/>
    <w:rsid w:val="023E1017"/>
    <w:rsid w:val="02E75976"/>
    <w:rsid w:val="04306ED4"/>
    <w:rsid w:val="04307E78"/>
    <w:rsid w:val="055D2B3A"/>
    <w:rsid w:val="061E1970"/>
    <w:rsid w:val="094626F4"/>
    <w:rsid w:val="09621297"/>
    <w:rsid w:val="0A8B05D2"/>
    <w:rsid w:val="0B743C6A"/>
    <w:rsid w:val="0CA06217"/>
    <w:rsid w:val="0CB27657"/>
    <w:rsid w:val="0CC11592"/>
    <w:rsid w:val="0CFD44CC"/>
    <w:rsid w:val="0D727345"/>
    <w:rsid w:val="0D8F029B"/>
    <w:rsid w:val="0F2F1C3D"/>
    <w:rsid w:val="0F8E6C83"/>
    <w:rsid w:val="0FD31AF6"/>
    <w:rsid w:val="104C5F0D"/>
    <w:rsid w:val="10BA0C20"/>
    <w:rsid w:val="10BA7A9A"/>
    <w:rsid w:val="10E55ACF"/>
    <w:rsid w:val="11082D62"/>
    <w:rsid w:val="112015D4"/>
    <w:rsid w:val="1124665D"/>
    <w:rsid w:val="112604F4"/>
    <w:rsid w:val="11805B2E"/>
    <w:rsid w:val="118329E5"/>
    <w:rsid w:val="12137B73"/>
    <w:rsid w:val="12622050"/>
    <w:rsid w:val="12793DD5"/>
    <w:rsid w:val="132D0579"/>
    <w:rsid w:val="13814287"/>
    <w:rsid w:val="13F65B7F"/>
    <w:rsid w:val="150B07DA"/>
    <w:rsid w:val="15176C61"/>
    <w:rsid w:val="15DA5A19"/>
    <w:rsid w:val="170D0A48"/>
    <w:rsid w:val="179E4EFF"/>
    <w:rsid w:val="1B18317C"/>
    <w:rsid w:val="1BD7768D"/>
    <w:rsid w:val="1DA62D13"/>
    <w:rsid w:val="1E421775"/>
    <w:rsid w:val="20217CFA"/>
    <w:rsid w:val="20AC3E49"/>
    <w:rsid w:val="21B423D1"/>
    <w:rsid w:val="220729C5"/>
    <w:rsid w:val="23AC1866"/>
    <w:rsid w:val="23EC7071"/>
    <w:rsid w:val="24412304"/>
    <w:rsid w:val="24E75339"/>
    <w:rsid w:val="25641323"/>
    <w:rsid w:val="26C72E54"/>
    <w:rsid w:val="2773039B"/>
    <w:rsid w:val="27F40D92"/>
    <w:rsid w:val="289A6B28"/>
    <w:rsid w:val="2A58349A"/>
    <w:rsid w:val="2AAF0D62"/>
    <w:rsid w:val="2AB94ECA"/>
    <w:rsid w:val="2B202C73"/>
    <w:rsid w:val="2B4260B7"/>
    <w:rsid w:val="2B6D575D"/>
    <w:rsid w:val="2D6F33C4"/>
    <w:rsid w:val="2F503F9B"/>
    <w:rsid w:val="301E0463"/>
    <w:rsid w:val="30B61278"/>
    <w:rsid w:val="31974E38"/>
    <w:rsid w:val="31F23497"/>
    <w:rsid w:val="32135324"/>
    <w:rsid w:val="32B91CFC"/>
    <w:rsid w:val="32CA46DD"/>
    <w:rsid w:val="32CD697B"/>
    <w:rsid w:val="3319338D"/>
    <w:rsid w:val="33477538"/>
    <w:rsid w:val="33A563AE"/>
    <w:rsid w:val="34591CB0"/>
    <w:rsid w:val="346202B8"/>
    <w:rsid w:val="3487520A"/>
    <w:rsid w:val="35054DAB"/>
    <w:rsid w:val="378D747F"/>
    <w:rsid w:val="382A6007"/>
    <w:rsid w:val="389A69BE"/>
    <w:rsid w:val="38D32761"/>
    <w:rsid w:val="3A463477"/>
    <w:rsid w:val="3A4D1D2D"/>
    <w:rsid w:val="3B2B36C1"/>
    <w:rsid w:val="3C806B04"/>
    <w:rsid w:val="3C893E03"/>
    <w:rsid w:val="3D1A55EC"/>
    <w:rsid w:val="3D94569F"/>
    <w:rsid w:val="3EBF5B14"/>
    <w:rsid w:val="3FE3608F"/>
    <w:rsid w:val="41877BC5"/>
    <w:rsid w:val="41E4286B"/>
    <w:rsid w:val="42545162"/>
    <w:rsid w:val="4260438F"/>
    <w:rsid w:val="426567D2"/>
    <w:rsid w:val="43AB20C9"/>
    <w:rsid w:val="453A5F85"/>
    <w:rsid w:val="45CC5C53"/>
    <w:rsid w:val="46064560"/>
    <w:rsid w:val="466325D2"/>
    <w:rsid w:val="47862950"/>
    <w:rsid w:val="47F171BF"/>
    <w:rsid w:val="48741741"/>
    <w:rsid w:val="48AE0D5D"/>
    <w:rsid w:val="48AE7C97"/>
    <w:rsid w:val="4901232A"/>
    <w:rsid w:val="497A2F9B"/>
    <w:rsid w:val="498C7759"/>
    <w:rsid w:val="4A2F33B3"/>
    <w:rsid w:val="4AAA0106"/>
    <w:rsid w:val="4B561ABB"/>
    <w:rsid w:val="4C637003"/>
    <w:rsid w:val="4CA37F9E"/>
    <w:rsid w:val="4D003975"/>
    <w:rsid w:val="4D4214D3"/>
    <w:rsid w:val="4EAA3FBC"/>
    <w:rsid w:val="4F1563ED"/>
    <w:rsid w:val="507A5BD7"/>
    <w:rsid w:val="50E33CCC"/>
    <w:rsid w:val="517C14C7"/>
    <w:rsid w:val="51D244E8"/>
    <w:rsid w:val="51E65204"/>
    <w:rsid w:val="5217106C"/>
    <w:rsid w:val="54095FAC"/>
    <w:rsid w:val="546423BE"/>
    <w:rsid w:val="54F15C57"/>
    <w:rsid w:val="56F7390C"/>
    <w:rsid w:val="5729597A"/>
    <w:rsid w:val="57CC3D7C"/>
    <w:rsid w:val="587E2CF1"/>
    <w:rsid w:val="58807E3F"/>
    <w:rsid w:val="59082E70"/>
    <w:rsid w:val="5A396BE5"/>
    <w:rsid w:val="5A3D29B3"/>
    <w:rsid w:val="5A940F14"/>
    <w:rsid w:val="5AB14664"/>
    <w:rsid w:val="5AB86FE7"/>
    <w:rsid w:val="5ACC69B8"/>
    <w:rsid w:val="5AF53D8F"/>
    <w:rsid w:val="5AF756C1"/>
    <w:rsid w:val="5B2E16D5"/>
    <w:rsid w:val="5B302FA2"/>
    <w:rsid w:val="5B7B1236"/>
    <w:rsid w:val="5BA11BE8"/>
    <w:rsid w:val="5BBD5EFA"/>
    <w:rsid w:val="5C847989"/>
    <w:rsid w:val="5C974816"/>
    <w:rsid w:val="5CAA3C0E"/>
    <w:rsid w:val="5CCF2BA2"/>
    <w:rsid w:val="5D774E07"/>
    <w:rsid w:val="5DE80772"/>
    <w:rsid w:val="5E1E7268"/>
    <w:rsid w:val="5E9572B0"/>
    <w:rsid w:val="5F2F6753"/>
    <w:rsid w:val="60733F65"/>
    <w:rsid w:val="60A52598"/>
    <w:rsid w:val="60B973AC"/>
    <w:rsid w:val="613931D7"/>
    <w:rsid w:val="61EE6E14"/>
    <w:rsid w:val="62030149"/>
    <w:rsid w:val="62866FC4"/>
    <w:rsid w:val="62B12D52"/>
    <w:rsid w:val="62EF15D8"/>
    <w:rsid w:val="630E6D8B"/>
    <w:rsid w:val="636C7181"/>
    <w:rsid w:val="6383600C"/>
    <w:rsid w:val="6450536C"/>
    <w:rsid w:val="649C0035"/>
    <w:rsid w:val="64CD333C"/>
    <w:rsid w:val="65834E5D"/>
    <w:rsid w:val="65BC1CA3"/>
    <w:rsid w:val="66412E1A"/>
    <w:rsid w:val="674F170A"/>
    <w:rsid w:val="695946CE"/>
    <w:rsid w:val="69A445C0"/>
    <w:rsid w:val="69CC0897"/>
    <w:rsid w:val="6A691709"/>
    <w:rsid w:val="6B1C4FB1"/>
    <w:rsid w:val="6B1F6537"/>
    <w:rsid w:val="6B4808E8"/>
    <w:rsid w:val="6B702A2A"/>
    <w:rsid w:val="6C5A3BC4"/>
    <w:rsid w:val="6C780999"/>
    <w:rsid w:val="6CC23729"/>
    <w:rsid w:val="6D3B484F"/>
    <w:rsid w:val="6DC64B38"/>
    <w:rsid w:val="6E576E1E"/>
    <w:rsid w:val="701A473E"/>
    <w:rsid w:val="70D21050"/>
    <w:rsid w:val="70DB7D4D"/>
    <w:rsid w:val="714B7AF8"/>
    <w:rsid w:val="715D0235"/>
    <w:rsid w:val="72C62065"/>
    <w:rsid w:val="73554814"/>
    <w:rsid w:val="73742257"/>
    <w:rsid w:val="73A90ADD"/>
    <w:rsid w:val="742079D1"/>
    <w:rsid w:val="74ED7FD8"/>
    <w:rsid w:val="753C14F7"/>
    <w:rsid w:val="754B6B88"/>
    <w:rsid w:val="757454EC"/>
    <w:rsid w:val="75DA2941"/>
    <w:rsid w:val="767A0562"/>
    <w:rsid w:val="768F2FEA"/>
    <w:rsid w:val="76B305CC"/>
    <w:rsid w:val="76E235BA"/>
    <w:rsid w:val="77F1491C"/>
    <w:rsid w:val="79191BDB"/>
    <w:rsid w:val="795D757D"/>
    <w:rsid w:val="798761B7"/>
    <w:rsid w:val="79CD77D8"/>
    <w:rsid w:val="7A5D35B5"/>
    <w:rsid w:val="7B85176A"/>
    <w:rsid w:val="7BD56206"/>
    <w:rsid w:val="7C161E9E"/>
    <w:rsid w:val="7C7D76E6"/>
    <w:rsid w:val="7C806E7C"/>
    <w:rsid w:val="7CF9768E"/>
    <w:rsid w:val="7F5303E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qFormat/>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qFormat/>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customStyle="1" w:styleId="32">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3">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34">
    <w:name w:val="List Paragraph"/>
    <w:basedOn w:val="1"/>
    <w:qFormat/>
    <w:uiPriority w:val="72"/>
    <w:pPr>
      <w:ind w:firstLine="420" w:firstLineChars="200"/>
    </w:pPr>
  </w:style>
  <w:style w:type="paragraph" w:customStyle="1" w:styleId="35">
    <w:name w:val="_Style 34"/>
    <w:semiHidden/>
    <w:qFormat/>
    <w:uiPriority w:val="99"/>
    <w:rPr>
      <w:rFonts w:ascii="Times New Roman" w:hAnsi="Times New Roman" w:eastAsia="宋体" w:cs="Times New Roman"/>
      <w:kern w:val="2"/>
      <w:sz w:val="21"/>
      <w:szCs w:val="22"/>
      <w:lang w:val="en-US" w:eastAsia="zh-CN" w:bidi="ar-SA"/>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31964</Words>
  <Characters>32985</Characters>
  <Lines>279</Lines>
  <Paragraphs>78</Paragraphs>
  <TotalTime>0</TotalTime>
  <ScaleCrop>false</ScaleCrop>
  <LinksUpToDate>false</LinksUpToDate>
  <CharactersWithSpaces>33172</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2022-05-18T06:44:00Z</dcterms:created>
  <dc:creator>JSYH</dc:creator>
  <cp:lastModifiedBy>lhy</cp:lastModifiedBy>
  <cp:lastPrinted>2022-09-01T07:56:00Z</cp:lastPrinted>
  <dcterms:modified xsi:type="dcterms:W3CDTF">2025-10-10T10:25:45Z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A25D9EAB36FF4F0D9EB830C3F8BC2DDA</vt:lpwstr>
  </property>
</Properties>
</file>